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0" w:right="98"/>
        <w:jc w:val="right"/>
      </w:pPr>
      <w:bookmarkStart w:name="26-445.pdf" w:id="1"/>
      <w:bookmarkEnd w:id="1"/>
      <w:r>
        <w:rPr>
          <w:b w:val="0"/>
        </w:rPr>
      </w: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28</w:t>
      </w:r>
    </w:p>
    <w:p>
      <w:pPr>
        <w:pStyle w:val="BodyText"/>
        <w:spacing w:before="2"/>
        <w:ind w:left="0"/>
        <w:rPr>
          <w:b/>
          <w:sz w:val="16"/>
        </w:rPr>
      </w:pPr>
    </w:p>
    <w:p>
      <w:pPr>
        <w:pStyle w:val="BodyText"/>
        <w:spacing w:before="90"/>
        <w:ind w:left="120"/>
      </w:pPr>
      <w:r>
        <w:rPr/>
        <w:t>Introduced by the Human Services:</w:t>
      </w:r>
    </w:p>
    <w:p>
      <w:pPr>
        <w:pStyle w:val="BodyText"/>
        <w:ind w:left="0"/>
      </w:pPr>
    </w:p>
    <w:p>
      <w:pPr>
        <w:pStyle w:val="BodyText"/>
        <w:ind w:left="466" w:right="874"/>
        <w:jc w:val="center"/>
      </w:pPr>
      <w:r>
        <w:rPr/>
        <w:t>INGHAM COUNTY BOARD OF COMMISSIONERS</w:t>
      </w:r>
    </w:p>
    <w:p>
      <w:pPr>
        <w:pStyle w:val="BodyText"/>
        <w:spacing w:before="10"/>
        <w:ind w:left="0"/>
        <w:rPr>
          <w:sz w:val="20"/>
        </w:rPr>
      </w:pPr>
    </w:p>
    <w:p>
      <w:pPr>
        <w:pStyle w:val="Heading1"/>
        <w:spacing w:line="480" w:lineRule="auto"/>
        <w:ind w:left="895" w:right="874"/>
        <w:jc w:val="center"/>
      </w:pPr>
      <w:r>
        <w:rPr/>
        <w:t>RESOLUTION TO AMEND THE INGHAM COUNTY BOARD OF HEALTH BYLAWS RESOLUTION #26 – 445</w:t>
      </w:r>
    </w:p>
    <w:p>
      <w:pPr>
        <w:pStyle w:val="BodyText"/>
        <w:ind w:left="0"/>
        <w:rPr>
          <w:b/>
        </w:rPr>
      </w:pPr>
    </w:p>
    <w:p>
      <w:pPr>
        <w:pStyle w:val="BodyText"/>
        <w:ind w:left="120" w:right="128"/>
      </w:pPr>
      <w:r>
        <w:rPr/>
        <w:t>WHEREAS, Ingham County’s Board of Health wishes to amend the current Board of Health (BOH) Bylaws set forth to represent Ingham County Health Department (ICHD), on issues of public health policy and planning; and</w:t>
      </w:r>
    </w:p>
    <w:p>
      <w:pPr>
        <w:pStyle w:val="BodyText"/>
        <w:spacing w:before="10"/>
        <w:ind w:left="0"/>
        <w:rPr>
          <w:sz w:val="20"/>
        </w:rPr>
      </w:pPr>
    </w:p>
    <w:p>
      <w:pPr>
        <w:pStyle w:val="BodyText"/>
        <w:ind w:left="120" w:right="469"/>
      </w:pPr>
      <w:r>
        <w:rPr/>
        <w:t>WHEREAS, the Ingham County BOH has served for many years as an advocate for public health in Ingham County and imparts a needed perspective to the Health Department and to the Board of Commissioners; and</w:t>
      </w:r>
    </w:p>
    <w:p>
      <w:pPr>
        <w:pStyle w:val="BodyText"/>
        <w:spacing w:before="10"/>
        <w:ind w:left="0"/>
        <w:rPr>
          <w:sz w:val="20"/>
        </w:rPr>
      </w:pPr>
    </w:p>
    <w:p>
      <w:pPr>
        <w:pStyle w:val="BodyText"/>
        <w:ind w:left="120" w:right="968"/>
      </w:pPr>
      <w:r>
        <w:rPr/>
        <w:t>WHEREAS, the maintenance of the Ingham County BOH assures that a single advisory body is able to concentrate on public health issues and offer specialized expertise, community perspective, and policy recommendations on public health issues; and</w:t>
      </w:r>
    </w:p>
    <w:p>
      <w:pPr>
        <w:pStyle w:val="BodyText"/>
        <w:ind w:left="0"/>
      </w:pPr>
    </w:p>
    <w:p>
      <w:pPr>
        <w:pStyle w:val="BodyText"/>
        <w:ind w:left="120"/>
      </w:pPr>
      <w:r>
        <w:rPr/>
        <w:t>WHEREAS, the Ingham County BOH recognized that their bylaws were outdated; and</w:t>
      </w:r>
    </w:p>
    <w:p>
      <w:pPr>
        <w:pStyle w:val="BodyText"/>
        <w:ind w:left="0"/>
      </w:pPr>
    </w:p>
    <w:p>
      <w:pPr>
        <w:pStyle w:val="BodyText"/>
        <w:ind w:left="120" w:right="297"/>
      </w:pPr>
      <w:r>
        <w:rPr/>
        <w:t>WHEREAS, after careful review of the current Board of Health bylaws, the Board of Health recommends that the Ingham County Board of Commissioners authorize the adoption of the revised bylaws which update language, term start dates, make-up of the Board, and attendance expectations; and</w:t>
      </w:r>
    </w:p>
    <w:p>
      <w:pPr>
        <w:pStyle w:val="BodyText"/>
        <w:ind w:left="0"/>
        <w:rPr>
          <w:sz w:val="26"/>
        </w:rPr>
      </w:pPr>
    </w:p>
    <w:p>
      <w:pPr>
        <w:pStyle w:val="BodyText"/>
        <w:spacing w:before="217"/>
        <w:ind w:left="120" w:right="128"/>
      </w:pPr>
      <w:r>
        <w:rPr/>
        <w:t>WHEREAS, the Medical Health Officer recommends that the Ingham County Board of Commissioners authorize amending the Ingham BOH bylaws effective upon approval and to be ongoing.</w:t>
      </w:r>
    </w:p>
    <w:p>
      <w:pPr>
        <w:pStyle w:val="BodyText"/>
        <w:spacing w:before="10"/>
        <w:ind w:left="0"/>
        <w:rPr>
          <w:sz w:val="20"/>
        </w:rPr>
      </w:pPr>
    </w:p>
    <w:p>
      <w:pPr>
        <w:pStyle w:val="BodyText"/>
        <w:spacing w:before="1"/>
        <w:ind w:left="120" w:right="268"/>
      </w:pPr>
      <w:r>
        <w:rPr/>
        <w:t>THEREFORE BE IT RESOLVED, that the Ingham County Board of Commissioners authorizes amending the Ingham BOH bylaws as attached, effective upon approval and to be ongoing.</w:t>
      </w:r>
    </w:p>
    <w:p>
      <w:pPr>
        <w:pStyle w:val="BodyText"/>
        <w:ind w:left="0"/>
        <w:rPr>
          <w:sz w:val="26"/>
        </w:rPr>
      </w:pPr>
    </w:p>
    <w:p>
      <w:pPr>
        <w:pStyle w:val="BodyText"/>
        <w:spacing w:before="8"/>
        <w:ind w:left="0"/>
        <w:rPr>
          <w:sz w:val="20"/>
        </w:rPr>
      </w:pPr>
    </w:p>
    <w:p>
      <w:pPr>
        <w:spacing w:before="0"/>
        <w:ind w:left="119" w:right="0" w:firstLine="0"/>
        <w:jc w:val="left"/>
        <w:rPr>
          <w:sz w:val="24"/>
        </w:rPr>
      </w:pPr>
      <w:r>
        <w:rPr>
          <w:b/>
          <w:sz w:val="24"/>
        </w:rPr>
        <w:t>HUMAN SERVICES: Yeas: </w:t>
      </w:r>
      <w:r>
        <w:rPr>
          <w:sz w:val="24"/>
        </w:rPr>
        <w:t>Tennis, Morgan, Willis, Ruest, Schafer</w:t>
      </w:r>
    </w:p>
    <w:p>
      <w:pPr>
        <w:tabs>
          <w:tab w:pos="2231" w:val="left" w:leader="none"/>
          <w:tab w:pos="4775"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w:t>
      </w:r>
    </w:p>
    <w:p>
      <w:pPr>
        <w:spacing w:after="0"/>
        <w:jc w:val="left"/>
        <w:rPr>
          <w:sz w:val="24"/>
        </w:rPr>
        <w:sectPr>
          <w:type w:val="continuous"/>
          <w:pgSz w:w="12240" w:h="15840"/>
          <w:pgMar w:top="1360" w:bottom="280" w:left="600" w:right="620"/>
        </w:sectPr>
      </w:pPr>
    </w:p>
    <w:p>
      <w:pPr>
        <w:pStyle w:val="Heading1"/>
        <w:spacing w:before="179"/>
        <w:ind w:left="890" w:right="874"/>
        <w:jc w:val="center"/>
      </w:pPr>
      <w:bookmarkStart w:name="Pages from 9.22.26 Resolutions (002)-19." w:id="2"/>
      <w:bookmarkEnd w:id="2"/>
      <w:r>
        <w:rPr>
          <w:b w:val="0"/>
        </w:rPr>
      </w:r>
      <w:r>
        <w:rPr/>
        <w:t>Bylaws of the Ingham County Board of Health</w:t>
      </w:r>
    </w:p>
    <w:p>
      <w:pPr>
        <w:pStyle w:val="BodyText"/>
        <w:spacing w:before="10"/>
        <w:ind w:left="0"/>
        <w:rPr>
          <w:b/>
          <w:sz w:val="14"/>
        </w:rPr>
      </w:pPr>
    </w:p>
    <w:p>
      <w:pPr>
        <w:spacing w:line="468" w:lineRule="auto" w:before="90"/>
        <w:ind w:left="120" w:right="8000" w:firstLine="0"/>
        <w:jc w:val="left"/>
        <w:rPr>
          <w:b/>
          <w:sz w:val="24"/>
        </w:rPr>
      </w:pPr>
      <w:r>
        <w:rPr>
          <w:b/>
          <w:sz w:val="24"/>
        </w:rPr>
        <w:t>Version: December 29, 2025 Article I.</w:t>
      </w:r>
    </w:p>
    <w:p>
      <w:pPr>
        <w:pStyle w:val="BodyText"/>
        <w:spacing w:line="259" w:lineRule="auto"/>
        <w:ind w:left="120" w:right="395"/>
      </w:pPr>
      <w:r>
        <w:rPr/>
        <w:t>The Ingham County Board of Health is created pursuant to section 333.2413 of the Michigan Public Health Code, Act 378 of 1978. As such, the local governing entity of the Ingham County Health Department is the Board of Commissioners, and the Board of Health is an advisory board. The Board of Health is subject to the laws, ordinances, rules, and policies of Ingham County and the State of Michigan. Certain sections of these bylaws are based on ordinances, rules, and policies of Ingham County.</w:t>
      </w:r>
    </w:p>
    <w:p>
      <w:pPr>
        <w:pStyle w:val="BodyText"/>
        <w:spacing w:before="9"/>
        <w:ind w:left="0"/>
        <w:rPr>
          <w:sz w:val="20"/>
        </w:rPr>
      </w:pPr>
    </w:p>
    <w:p>
      <w:pPr>
        <w:pStyle w:val="Heading1"/>
        <w:spacing w:before="1"/>
      </w:pPr>
      <w:r>
        <w:rPr/>
        <w:t>Article II.</w:t>
      </w:r>
    </w:p>
    <w:p>
      <w:pPr>
        <w:pStyle w:val="BodyText"/>
        <w:spacing w:before="8"/>
        <w:ind w:left="0"/>
        <w:rPr>
          <w:b/>
          <w:sz w:val="22"/>
        </w:rPr>
      </w:pPr>
    </w:p>
    <w:p>
      <w:pPr>
        <w:tabs>
          <w:tab w:pos="1559" w:val="left" w:leader="none"/>
        </w:tabs>
        <w:spacing w:before="0"/>
        <w:ind w:left="120" w:right="0" w:firstLine="0"/>
        <w:jc w:val="left"/>
        <w:rPr>
          <w:b/>
          <w:sz w:val="24"/>
        </w:rPr>
      </w:pPr>
      <w:r>
        <w:rPr>
          <w:b/>
          <w:sz w:val="24"/>
        </w:rPr>
        <w:t>Section</w:t>
      </w:r>
      <w:r>
        <w:rPr>
          <w:b/>
          <w:spacing w:val="-1"/>
          <w:sz w:val="24"/>
        </w:rPr>
        <w:t> </w:t>
      </w:r>
      <w:r>
        <w:rPr>
          <w:b/>
          <w:sz w:val="24"/>
        </w:rPr>
        <w:t>1.</w:t>
        <w:tab/>
        <w:t>Name</w:t>
      </w:r>
    </w:p>
    <w:p>
      <w:pPr>
        <w:pStyle w:val="BodyText"/>
        <w:spacing w:before="9"/>
        <w:ind w:left="0"/>
        <w:rPr>
          <w:b/>
          <w:sz w:val="22"/>
        </w:rPr>
      </w:pPr>
    </w:p>
    <w:p>
      <w:pPr>
        <w:pStyle w:val="BodyText"/>
        <w:ind w:left="1560"/>
      </w:pPr>
      <w:r>
        <w:rPr/>
        <w:t>The official name of this entity shall be the Ingham County Board of Health.</w:t>
      </w:r>
    </w:p>
    <w:p>
      <w:pPr>
        <w:pStyle w:val="BodyText"/>
        <w:spacing w:before="8"/>
        <w:ind w:left="0"/>
        <w:rPr>
          <w:sz w:val="22"/>
        </w:rPr>
      </w:pPr>
    </w:p>
    <w:p>
      <w:pPr>
        <w:pStyle w:val="Heading1"/>
        <w:tabs>
          <w:tab w:pos="1559" w:val="left" w:leader="none"/>
        </w:tabs>
      </w:pPr>
      <w:r>
        <w:rPr/>
        <w:t>Section</w:t>
      </w:r>
      <w:r>
        <w:rPr>
          <w:spacing w:val="-1"/>
        </w:rPr>
        <w:t> </w:t>
      </w:r>
      <w:r>
        <w:rPr/>
        <w:t>2.</w:t>
        <w:tab/>
        <w:t>Definitions</w:t>
      </w:r>
    </w:p>
    <w:p>
      <w:pPr>
        <w:pStyle w:val="ListParagraph"/>
        <w:numPr>
          <w:ilvl w:val="0"/>
          <w:numId w:val="1"/>
        </w:numPr>
        <w:tabs>
          <w:tab w:pos="2279" w:val="left" w:leader="none"/>
          <w:tab w:pos="2280" w:val="left" w:leader="none"/>
        </w:tabs>
        <w:spacing w:line="240" w:lineRule="auto" w:before="22" w:after="0"/>
        <w:ind w:left="2280" w:right="0" w:hanging="720"/>
        <w:jc w:val="left"/>
        <w:rPr>
          <w:sz w:val="24"/>
        </w:rPr>
      </w:pPr>
      <w:r>
        <w:rPr>
          <w:sz w:val="24"/>
        </w:rPr>
        <w:t>“Board” means the Ingham County Board of</w:t>
      </w:r>
      <w:r>
        <w:rPr>
          <w:spacing w:val="-7"/>
          <w:sz w:val="24"/>
        </w:rPr>
        <w:t> </w:t>
      </w:r>
      <w:r>
        <w:rPr>
          <w:sz w:val="24"/>
        </w:rPr>
        <w:t>Health.</w:t>
      </w:r>
    </w:p>
    <w:p>
      <w:pPr>
        <w:pStyle w:val="ListParagraph"/>
        <w:numPr>
          <w:ilvl w:val="0"/>
          <w:numId w:val="1"/>
        </w:numPr>
        <w:tabs>
          <w:tab w:pos="2279" w:val="left" w:leader="none"/>
          <w:tab w:pos="2280" w:val="left" w:leader="none"/>
        </w:tabs>
        <w:spacing w:line="240" w:lineRule="auto" w:before="0" w:after="0"/>
        <w:ind w:left="2280" w:right="0" w:hanging="720"/>
        <w:jc w:val="left"/>
        <w:rPr>
          <w:sz w:val="24"/>
        </w:rPr>
      </w:pPr>
      <w:r>
        <w:rPr>
          <w:sz w:val="24"/>
        </w:rPr>
        <w:t>“Commissioners” means the Ingham County Board of</w:t>
      </w:r>
      <w:r>
        <w:rPr>
          <w:spacing w:val="-4"/>
          <w:sz w:val="24"/>
        </w:rPr>
        <w:t> </w:t>
      </w:r>
      <w:r>
        <w:rPr>
          <w:sz w:val="24"/>
        </w:rPr>
        <w:t>Commissioners.</w:t>
      </w:r>
    </w:p>
    <w:p>
      <w:pPr>
        <w:pStyle w:val="ListParagraph"/>
        <w:numPr>
          <w:ilvl w:val="0"/>
          <w:numId w:val="1"/>
        </w:numPr>
        <w:tabs>
          <w:tab w:pos="2279" w:val="left" w:leader="none"/>
          <w:tab w:pos="2280" w:val="left" w:leader="none"/>
        </w:tabs>
        <w:spacing w:line="240" w:lineRule="auto" w:before="0" w:after="0"/>
        <w:ind w:left="2280" w:right="1184" w:hanging="720"/>
        <w:jc w:val="left"/>
        <w:rPr>
          <w:sz w:val="24"/>
        </w:rPr>
      </w:pPr>
      <w:r>
        <w:rPr>
          <w:sz w:val="24"/>
        </w:rPr>
        <w:t>“HSC” means the Human Services Committee of the Ingham County Board of Commissioners.</w:t>
      </w:r>
    </w:p>
    <w:p>
      <w:pPr>
        <w:pStyle w:val="ListParagraph"/>
        <w:numPr>
          <w:ilvl w:val="0"/>
          <w:numId w:val="1"/>
        </w:numPr>
        <w:tabs>
          <w:tab w:pos="2279" w:val="left" w:leader="none"/>
          <w:tab w:pos="2280" w:val="left" w:leader="none"/>
        </w:tabs>
        <w:spacing w:line="240" w:lineRule="auto" w:before="0" w:after="0"/>
        <w:ind w:left="2280" w:right="0" w:hanging="721"/>
        <w:jc w:val="left"/>
        <w:rPr>
          <w:sz w:val="24"/>
        </w:rPr>
      </w:pPr>
      <w:r>
        <w:rPr>
          <w:sz w:val="24"/>
        </w:rPr>
        <w:t>“Open Meetings Act” means Michigan Public Act 267 of</w:t>
      </w:r>
      <w:r>
        <w:rPr>
          <w:spacing w:val="-3"/>
          <w:sz w:val="24"/>
        </w:rPr>
        <w:t> </w:t>
      </w:r>
      <w:r>
        <w:rPr>
          <w:sz w:val="24"/>
        </w:rPr>
        <w:t>1976.</w:t>
      </w:r>
    </w:p>
    <w:p>
      <w:pPr>
        <w:pStyle w:val="ListParagraph"/>
        <w:numPr>
          <w:ilvl w:val="0"/>
          <w:numId w:val="1"/>
        </w:numPr>
        <w:tabs>
          <w:tab w:pos="2279" w:val="left" w:leader="none"/>
          <w:tab w:pos="2280" w:val="left" w:leader="none"/>
        </w:tabs>
        <w:spacing w:line="240" w:lineRule="auto" w:before="0" w:after="0"/>
        <w:ind w:left="2279" w:right="480" w:hanging="720"/>
        <w:jc w:val="left"/>
        <w:rPr>
          <w:sz w:val="24"/>
        </w:rPr>
      </w:pPr>
      <w:r>
        <w:rPr>
          <w:sz w:val="24"/>
        </w:rPr>
        <w:t>“Commissioner Liaison” means the member of the Human Services Committee of the Board of Commissioners assigned to the Board of</w:t>
      </w:r>
      <w:r>
        <w:rPr>
          <w:spacing w:val="-2"/>
          <w:sz w:val="24"/>
        </w:rPr>
        <w:t> </w:t>
      </w:r>
      <w:r>
        <w:rPr>
          <w:sz w:val="24"/>
        </w:rPr>
        <w:t>Health.</w:t>
      </w:r>
    </w:p>
    <w:p>
      <w:pPr>
        <w:pStyle w:val="BodyText"/>
        <w:ind w:left="0"/>
      </w:pPr>
    </w:p>
    <w:p>
      <w:pPr>
        <w:pStyle w:val="Heading1"/>
        <w:tabs>
          <w:tab w:pos="1559" w:val="left" w:leader="none"/>
        </w:tabs>
      </w:pPr>
      <w:r>
        <w:rPr/>
        <w:t>Article</w:t>
      </w:r>
      <w:r>
        <w:rPr>
          <w:spacing w:val="-3"/>
        </w:rPr>
        <w:t> </w:t>
      </w:r>
      <w:r>
        <w:rPr/>
        <w:t>III.</w:t>
        <w:tab/>
        <w:t>Purpose</w:t>
      </w:r>
    </w:p>
    <w:p>
      <w:pPr>
        <w:pStyle w:val="BodyText"/>
        <w:ind w:left="120" w:right="688"/>
      </w:pPr>
      <w:r>
        <w:rPr/>
        <w:t>The Board shall identify public health problems and concerns, establish priorities and advise the Health Department and Commissioners regarding public health matters and possible solutions. The Board shall recommend a program of basic health services to the Commissioners. The Board shall assist the Health Department in informing the community about public health, and it shall inform the Commissioners about Health Department needs. The Board shall review programs and policies.</w:t>
      </w:r>
    </w:p>
    <w:p>
      <w:pPr>
        <w:pStyle w:val="BodyText"/>
        <w:ind w:left="0"/>
      </w:pPr>
    </w:p>
    <w:p>
      <w:pPr>
        <w:pStyle w:val="Heading1"/>
        <w:tabs>
          <w:tab w:pos="1559" w:val="left" w:leader="none"/>
        </w:tabs>
      </w:pPr>
      <w:r>
        <w:rPr/>
        <w:t>Article</w:t>
      </w:r>
      <w:r>
        <w:rPr>
          <w:spacing w:val="-3"/>
        </w:rPr>
        <w:t> </w:t>
      </w:r>
      <w:r>
        <w:rPr/>
        <w:t>IV.</w:t>
        <w:tab/>
        <w:t>Composition</w:t>
      </w:r>
    </w:p>
    <w:p>
      <w:pPr>
        <w:pStyle w:val="BodyText"/>
        <w:ind w:left="0"/>
        <w:rPr>
          <w:b/>
        </w:rPr>
      </w:pPr>
    </w:p>
    <w:p>
      <w:pPr>
        <w:pStyle w:val="Heading2"/>
        <w:tabs>
          <w:tab w:pos="1559" w:val="left" w:leader="none"/>
        </w:tabs>
        <w:rPr>
          <w:i/>
        </w:rPr>
      </w:pPr>
      <w:r>
        <w:rPr>
          <w:i/>
        </w:rPr>
        <w:t>Section</w:t>
      </w:r>
      <w:r>
        <w:rPr>
          <w:i/>
          <w:spacing w:val="-1"/>
        </w:rPr>
        <w:t> </w:t>
      </w:r>
      <w:r>
        <w:rPr>
          <w:i/>
        </w:rPr>
        <w:t>1.</w:t>
        <w:tab/>
        <w:t>Membership of the</w:t>
      </w:r>
      <w:r>
        <w:rPr>
          <w:i/>
          <w:spacing w:val="-2"/>
        </w:rPr>
        <w:t> </w:t>
      </w:r>
      <w:r>
        <w:rPr>
          <w:i/>
        </w:rPr>
        <w:t>Board</w:t>
      </w:r>
    </w:p>
    <w:p>
      <w:pPr>
        <w:pStyle w:val="ListParagraph"/>
        <w:numPr>
          <w:ilvl w:val="0"/>
          <w:numId w:val="2"/>
        </w:numPr>
        <w:tabs>
          <w:tab w:pos="2279" w:val="left" w:leader="none"/>
          <w:tab w:pos="2280" w:val="left" w:leader="none"/>
        </w:tabs>
        <w:spacing w:line="240" w:lineRule="auto" w:before="0" w:after="0"/>
        <w:ind w:left="2280" w:right="0" w:hanging="720"/>
        <w:jc w:val="left"/>
        <w:rPr>
          <w:sz w:val="24"/>
        </w:rPr>
      </w:pPr>
      <w:r>
        <w:rPr>
          <w:sz w:val="24"/>
        </w:rPr>
        <w:t>The Board shall consist of 11 voting</w:t>
      </w:r>
      <w:r>
        <w:rPr>
          <w:spacing w:val="-6"/>
          <w:sz w:val="24"/>
        </w:rPr>
        <w:t> </w:t>
      </w:r>
      <w:r>
        <w:rPr>
          <w:sz w:val="24"/>
        </w:rPr>
        <w:t>members.</w:t>
      </w:r>
    </w:p>
    <w:p>
      <w:pPr>
        <w:pStyle w:val="ListParagraph"/>
        <w:numPr>
          <w:ilvl w:val="0"/>
          <w:numId w:val="2"/>
        </w:numPr>
        <w:tabs>
          <w:tab w:pos="2279" w:val="left" w:leader="none"/>
          <w:tab w:pos="2280" w:val="left" w:leader="none"/>
        </w:tabs>
        <w:spacing w:line="240" w:lineRule="auto" w:before="41" w:after="0"/>
        <w:ind w:left="2280" w:right="313" w:hanging="720"/>
        <w:jc w:val="left"/>
        <w:rPr>
          <w:sz w:val="24"/>
        </w:rPr>
      </w:pPr>
      <w:r>
        <w:rPr>
          <w:sz w:val="24"/>
        </w:rPr>
        <w:t>The Commissioners shall select 10 residents of Ingham County to sit as members of</w:t>
      </w:r>
      <w:r>
        <w:rPr>
          <w:spacing w:val="-18"/>
          <w:sz w:val="24"/>
        </w:rPr>
        <w:t> </w:t>
      </w:r>
      <w:r>
        <w:rPr>
          <w:sz w:val="24"/>
        </w:rPr>
        <w:t>the Board following the policies of Ingham</w:t>
      </w:r>
      <w:r>
        <w:rPr>
          <w:spacing w:val="-3"/>
          <w:sz w:val="24"/>
        </w:rPr>
        <w:t> </w:t>
      </w:r>
      <w:r>
        <w:rPr>
          <w:sz w:val="24"/>
        </w:rPr>
        <w:t>County.</w:t>
      </w:r>
    </w:p>
    <w:p>
      <w:pPr>
        <w:pStyle w:val="BodyText"/>
        <w:tabs>
          <w:tab w:pos="2279" w:val="left" w:leader="none"/>
        </w:tabs>
        <w:spacing w:before="39"/>
        <w:ind w:right="265" w:hanging="720"/>
      </w:pPr>
      <w:r>
        <w:rPr/>
        <w:t>C</w:t>
        <w:tab/>
        <w:t>At least one Board member appointed by the Commissioners, but less than five (50 percent) shall represent health care providers such as hospitals, health centers and safety net</w:t>
      </w:r>
      <w:r>
        <w:rPr>
          <w:spacing w:val="-1"/>
        </w:rPr>
        <w:t> </w:t>
      </w:r>
      <w:r>
        <w:rPr/>
        <w:t>clinics.</w:t>
      </w:r>
    </w:p>
    <w:p>
      <w:pPr>
        <w:pStyle w:val="BodyText"/>
        <w:tabs>
          <w:tab w:pos="2279" w:val="left" w:leader="none"/>
        </w:tabs>
        <w:ind w:right="453" w:hanging="720"/>
      </w:pPr>
      <w:r>
        <w:rPr/>
        <w:t>D.</w:t>
        <w:tab/>
        <w:t>The HSC shall designate one of its members to participate in Board meetings as an Ex Officio, voting member for a total of</w:t>
      </w:r>
      <w:r>
        <w:rPr>
          <w:spacing w:val="-8"/>
        </w:rPr>
        <w:t> </w:t>
      </w:r>
      <w:r>
        <w:rPr/>
        <w:t>eleven.</w:t>
      </w:r>
    </w:p>
    <w:p>
      <w:pPr>
        <w:pStyle w:val="BodyText"/>
        <w:tabs>
          <w:tab w:pos="1559" w:val="left" w:leader="none"/>
        </w:tabs>
        <w:ind w:left="120"/>
      </w:pPr>
      <w:r>
        <w:rPr/>
        <w:t>Section</w:t>
      </w:r>
      <w:r>
        <w:rPr>
          <w:spacing w:val="-1"/>
        </w:rPr>
        <w:t> </w:t>
      </w:r>
      <w:r>
        <w:rPr/>
        <w:t>2.</w:t>
        <w:tab/>
        <w:t>Term of Board</w:t>
      </w:r>
      <w:r>
        <w:rPr>
          <w:spacing w:val="1"/>
        </w:rPr>
        <w:t> </w:t>
      </w:r>
      <w:r>
        <w:rPr/>
        <w:t>Members</w:t>
      </w:r>
    </w:p>
    <w:p>
      <w:pPr>
        <w:spacing w:after="0"/>
        <w:sectPr>
          <w:pgSz w:w="12240" w:h="15840"/>
          <w:pgMar w:top="1500" w:bottom="280" w:left="600" w:right="620"/>
        </w:sectPr>
      </w:pPr>
    </w:p>
    <w:p>
      <w:pPr>
        <w:pStyle w:val="ListParagraph"/>
        <w:numPr>
          <w:ilvl w:val="0"/>
          <w:numId w:val="3"/>
        </w:numPr>
        <w:tabs>
          <w:tab w:pos="2279" w:val="left" w:leader="none"/>
          <w:tab w:pos="2280" w:val="left" w:leader="none"/>
        </w:tabs>
        <w:spacing w:line="240" w:lineRule="auto" w:before="79" w:after="0"/>
        <w:ind w:left="2280" w:right="147" w:hanging="720"/>
        <w:jc w:val="left"/>
        <w:rPr>
          <w:sz w:val="24"/>
        </w:rPr>
      </w:pPr>
      <w:r>
        <w:rPr>
          <w:sz w:val="24"/>
        </w:rPr>
        <w:t>A term on the Board shall be three calendar years beginning on January 1 of the first year and ending on December 31 of the third year. A Board member may serve up to two full terms for a total of six years.</w:t>
      </w:r>
    </w:p>
    <w:p>
      <w:pPr>
        <w:pStyle w:val="ListParagraph"/>
        <w:numPr>
          <w:ilvl w:val="0"/>
          <w:numId w:val="3"/>
        </w:numPr>
        <w:tabs>
          <w:tab w:pos="2279" w:val="left" w:leader="none"/>
          <w:tab w:pos="2280" w:val="left" w:leader="none"/>
        </w:tabs>
        <w:spacing w:line="240" w:lineRule="auto" w:before="0" w:after="0"/>
        <w:ind w:left="2279" w:right="374" w:hanging="720"/>
        <w:jc w:val="left"/>
        <w:rPr>
          <w:sz w:val="24"/>
        </w:rPr>
      </w:pPr>
      <w:r>
        <w:rPr>
          <w:sz w:val="24"/>
        </w:rPr>
        <w:t>A person selected by the Commissioners to complete the unexpired term of a</w:t>
      </w:r>
      <w:r>
        <w:rPr>
          <w:spacing w:val="-17"/>
          <w:sz w:val="24"/>
        </w:rPr>
        <w:t> </w:t>
      </w:r>
      <w:r>
        <w:rPr>
          <w:sz w:val="24"/>
        </w:rPr>
        <w:t>departing board member may serve until December 31 of the third year of that</w:t>
      </w:r>
      <w:r>
        <w:rPr>
          <w:spacing w:val="-12"/>
          <w:sz w:val="24"/>
        </w:rPr>
        <w:t> </w:t>
      </w:r>
      <w:r>
        <w:rPr>
          <w:sz w:val="24"/>
        </w:rPr>
        <w:t>term.</w:t>
      </w:r>
    </w:p>
    <w:p>
      <w:pPr>
        <w:pStyle w:val="BodyText"/>
        <w:tabs>
          <w:tab w:pos="1559" w:val="left" w:leader="none"/>
        </w:tabs>
        <w:ind w:left="120"/>
      </w:pPr>
      <w:r>
        <w:rPr/>
        <w:t>Section</w:t>
      </w:r>
      <w:r>
        <w:rPr>
          <w:spacing w:val="-1"/>
        </w:rPr>
        <w:t> </w:t>
      </w:r>
      <w:r>
        <w:rPr/>
        <w:t>3.</w:t>
        <w:tab/>
        <w:t>Removal from the</w:t>
      </w:r>
      <w:r>
        <w:rPr>
          <w:spacing w:val="-7"/>
        </w:rPr>
        <w:t> </w:t>
      </w:r>
      <w:r>
        <w:rPr/>
        <w:t>Board</w:t>
      </w:r>
    </w:p>
    <w:p>
      <w:pPr>
        <w:pStyle w:val="ListParagraph"/>
        <w:numPr>
          <w:ilvl w:val="0"/>
          <w:numId w:val="4"/>
        </w:numPr>
        <w:tabs>
          <w:tab w:pos="2279" w:val="left" w:leader="none"/>
          <w:tab w:pos="2280" w:val="left" w:leader="none"/>
        </w:tabs>
        <w:spacing w:line="240" w:lineRule="auto" w:before="0" w:after="0"/>
        <w:ind w:left="2280" w:right="384" w:hanging="720"/>
        <w:jc w:val="left"/>
        <w:rPr>
          <w:sz w:val="24"/>
        </w:rPr>
      </w:pPr>
      <w:r>
        <w:rPr>
          <w:sz w:val="24"/>
        </w:rPr>
        <w:t>Attendance standards shall follow Ingham County policies. Members who miss three consecutive meetings without reasonable cause may be considered eligible for</w:t>
      </w:r>
      <w:r>
        <w:rPr>
          <w:spacing w:val="-21"/>
          <w:sz w:val="24"/>
        </w:rPr>
        <w:t> </w:t>
      </w:r>
      <w:r>
        <w:rPr>
          <w:sz w:val="24"/>
        </w:rPr>
        <w:t>removal from the Board by action of the</w:t>
      </w:r>
      <w:r>
        <w:rPr>
          <w:spacing w:val="-9"/>
          <w:sz w:val="24"/>
        </w:rPr>
        <w:t> </w:t>
      </w:r>
      <w:r>
        <w:rPr>
          <w:sz w:val="24"/>
        </w:rPr>
        <w:t>Commissioners.</w:t>
      </w:r>
    </w:p>
    <w:p>
      <w:pPr>
        <w:pStyle w:val="ListParagraph"/>
        <w:numPr>
          <w:ilvl w:val="0"/>
          <w:numId w:val="4"/>
        </w:numPr>
        <w:tabs>
          <w:tab w:pos="2279" w:val="left" w:leader="none"/>
          <w:tab w:pos="2280" w:val="left" w:leader="none"/>
        </w:tabs>
        <w:spacing w:line="240" w:lineRule="auto" w:before="0" w:after="0"/>
        <w:ind w:left="2280" w:right="208" w:hanging="720"/>
        <w:jc w:val="left"/>
        <w:rPr>
          <w:sz w:val="24"/>
        </w:rPr>
      </w:pPr>
      <w:r>
        <w:rPr>
          <w:sz w:val="24"/>
        </w:rPr>
        <w:t>In case of serious, irreconcilable conflict among members of the Board, the Board may ask the members of the Board, the Board may ask the Commissioners to remove a</w:t>
      </w:r>
      <w:r>
        <w:rPr>
          <w:spacing w:val="-18"/>
          <w:sz w:val="24"/>
        </w:rPr>
        <w:t> </w:t>
      </w:r>
      <w:r>
        <w:rPr>
          <w:sz w:val="24"/>
        </w:rPr>
        <w:t>Board member.</w:t>
      </w:r>
    </w:p>
    <w:p>
      <w:pPr>
        <w:pStyle w:val="ListParagraph"/>
        <w:numPr>
          <w:ilvl w:val="0"/>
          <w:numId w:val="4"/>
        </w:numPr>
        <w:tabs>
          <w:tab w:pos="2280" w:val="left" w:leader="none"/>
        </w:tabs>
        <w:spacing w:line="240" w:lineRule="auto" w:before="41" w:after="0"/>
        <w:ind w:left="2280" w:right="247" w:hanging="720"/>
        <w:jc w:val="both"/>
        <w:rPr>
          <w:sz w:val="24"/>
        </w:rPr>
      </w:pPr>
      <w:r>
        <w:rPr>
          <w:sz w:val="24"/>
        </w:rPr>
        <w:t>A supermajority vote of 60 per cent of the Board (Seven members if all 11 positions are filled and present) is required to request removal of a Board member under items A or B of this</w:t>
      </w:r>
      <w:r>
        <w:rPr>
          <w:spacing w:val="-2"/>
          <w:sz w:val="24"/>
        </w:rPr>
        <w:t> </w:t>
      </w:r>
      <w:r>
        <w:rPr>
          <w:sz w:val="24"/>
        </w:rPr>
        <w:t>section.</w:t>
      </w:r>
    </w:p>
    <w:p>
      <w:pPr>
        <w:pStyle w:val="BodyText"/>
        <w:ind w:left="0"/>
        <w:rPr>
          <w:sz w:val="26"/>
        </w:rPr>
      </w:pPr>
    </w:p>
    <w:p>
      <w:pPr>
        <w:pStyle w:val="Heading1"/>
        <w:tabs>
          <w:tab w:pos="1559" w:val="left" w:leader="none"/>
        </w:tabs>
        <w:spacing w:before="217"/>
      </w:pPr>
      <w:r>
        <w:rPr/>
        <w:t>Article</w:t>
      </w:r>
      <w:r>
        <w:rPr>
          <w:spacing w:val="-3"/>
        </w:rPr>
        <w:t> </w:t>
      </w:r>
      <w:r>
        <w:rPr/>
        <w:t>V.</w:t>
        <w:tab/>
        <w:t>Officers</w:t>
      </w:r>
    </w:p>
    <w:p>
      <w:pPr>
        <w:pStyle w:val="BodyText"/>
        <w:spacing w:before="9"/>
        <w:ind w:left="0"/>
        <w:rPr>
          <w:b/>
          <w:sz w:val="23"/>
        </w:rPr>
      </w:pPr>
    </w:p>
    <w:p>
      <w:pPr>
        <w:pStyle w:val="Heading2"/>
        <w:tabs>
          <w:tab w:pos="1559" w:val="left" w:leader="none"/>
        </w:tabs>
        <w:rPr>
          <w:i/>
        </w:rPr>
      </w:pPr>
      <w:r>
        <w:rPr>
          <w:i/>
        </w:rPr>
        <w:t>Section</w:t>
      </w:r>
      <w:r>
        <w:rPr>
          <w:i/>
          <w:spacing w:val="-1"/>
        </w:rPr>
        <w:t> </w:t>
      </w:r>
      <w:r>
        <w:rPr>
          <w:i/>
        </w:rPr>
        <w:t>1.</w:t>
        <w:tab/>
        <w:t>Officers</w:t>
      </w:r>
    </w:p>
    <w:p>
      <w:pPr>
        <w:pStyle w:val="BodyText"/>
        <w:ind w:left="1560"/>
      </w:pPr>
      <w:r>
        <w:rPr/>
        <w:t>The Board shall have two officers: Chairperson and Vice-Chairperson</w:t>
      </w:r>
    </w:p>
    <w:p>
      <w:pPr>
        <w:pStyle w:val="BodyText"/>
        <w:ind w:left="0"/>
      </w:pPr>
    </w:p>
    <w:p>
      <w:pPr>
        <w:pStyle w:val="Heading2"/>
        <w:tabs>
          <w:tab w:pos="1559" w:val="left" w:leader="none"/>
        </w:tabs>
        <w:rPr>
          <w:i/>
        </w:rPr>
      </w:pPr>
      <w:r>
        <w:rPr>
          <w:i/>
        </w:rPr>
        <w:t>Section</w:t>
      </w:r>
      <w:r>
        <w:rPr>
          <w:i/>
          <w:spacing w:val="-1"/>
        </w:rPr>
        <w:t> </w:t>
      </w:r>
      <w:r>
        <w:rPr>
          <w:i/>
        </w:rPr>
        <w:t>2.</w:t>
        <w:tab/>
        <w:t>Term of Office of</w:t>
      </w:r>
      <w:r>
        <w:rPr>
          <w:i/>
          <w:spacing w:val="-1"/>
        </w:rPr>
        <w:t> </w:t>
      </w:r>
      <w:r>
        <w:rPr>
          <w:i/>
        </w:rPr>
        <w:t>Officers</w:t>
      </w:r>
    </w:p>
    <w:p>
      <w:pPr>
        <w:pStyle w:val="BodyText"/>
        <w:spacing w:before="41"/>
        <w:ind w:left="1560" w:right="156"/>
      </w:pPr>
      <w:r>
        <w:rPr/>
        <w:t>The term of office for officers shall be one year, from January 1 through December 31 following their election. Officers may serve three terms for a total of three years.</w:t>
      </w:r>
    </w:p>
    <w:p>
      <w:pPr>
        <w:pStyle w:val="BodyText"/>
        <w:ind w:left="0"/>
      </w:pPr>
    </w:p>
    <w:p>
      <w:pPr>
        <w:pStyle w:val="Heading2"/>
        <w:tabs>
          <w:tab w:pos="1559" w:val="left" w:leader="none"/>
        </w:tabs>
        <w:rPr>
          <w:i/>
        </w:rPr>
      </w:pPr>
      <w:r>
        <w:rPr>
          <w:i/>
        </w:rPr>
        <w:t>Section</w:t>
      </w:r>
      <w:r>
        <w:rPr>
          <w:i/>
          <w:spacing w:val="-1"/>
        </w:rPr>
        <w:t> </w:t>
      </w:r>
      <w:r>
        <w:rPr>
          <w:i/>
        </w:rPr>
        <w:t>3.</w:t>
        <w:tab/>
        <w:t>Election of</w:t>
      </w:r>
      <w:r>
        <w:rPr>
          <w:i/>
          <w:spacing w:val="-1"/>
        </w:rPr>
        <w:t> </w:t>
      </w:r>
      <w:r>
        <w:rPr>
          <w:i/>
        </w:rPr>
        <w:t>Officers</w:t>
      </w:r>
    </w:p>
    <w:p>
      <w:pPr>
        <w:pStyle w:val="ListParagraph"/>
        <w:numPr>
          <w:ilvl w:val="0"/>
          <w:numId w:val="5"/>
        </w:numPr>
        <w:tabs>
          <w:tab w:pos="2279" w:val="left" w:leader="none"/>
          <w:tab w:pos="2280" w:val="left" w:leader="none"/>
        </w:tabs>
        <w:spacing w:line="240" w:lineRule="auto" w:before="0" w:after="0"/>
        <w:ind w:left="2280" w:right="0" w:hanging="720"/>
        <w:jc w:val="left"/>
        <w:rPr>
          <w:sz w:val="24"/>
        </w:rPr>
      </w:pPr>
      <w:r>
        <w:rPr>
          <w:sz w:val="24"/>
        </w:rPr>
        <w:t>The Board shall elect its own</w:t>
      </w:r>
      <w:r>
        <w:rPr>
          <w:spacing w:val="-2"/>
          <w:sz w:val="24"/>
        </w:rPr>
        <w:t> </w:t>
      </w:r>
      <w:r>
        <w:rPr>
          <w:sz w:val="24"/>
        </w:rPr>
        <w:t>officers.</w:t>
      </w:r>
    </w:p>
    <w:p>
      <w:pPr>
        <w:pStyle w:val="ListParagraph"/>
        <w:numPr>
          <w:ilvl w:val="0"/>
          <w:numId w:val="5"/>
        </w:numPr>
        <w:tabs>
          <w:tab w:pos="2279" w:val="left" w:leader="none"/>
          <w:tab w:pos="2280" w:val="left" w:leader="none"/>
        </w:tabs>
        <w:spacing w:line="240" w:lineRule="auto" w:before="41" w:after="0"/>
        <w:ind w:left="2280" w:right="402" w:hanging="720"/>
        <w:jc w:val="left"/>
        <w:rPr>
          <w:sz w:val="24"/>
        </w:rPr>
      </w:pPr>
      <w:r>
        <w:rPr>
          <w:sz w:val="24"/>
        </w:rPr>
        <w:t>Elections of officers shall occur during the last regular meeting of the calendar year,</w:t>
      </w:r>
      <w:r>
        <w:rPr>
          <w:spacing w:val="-21"/>
          <w:sz w:val="24"/>
        </w:rPr>
        <w:t> </w:t>
      </w:r>
      <w:r>
        <w:rPr>
          <w:sz w:val="24"/>
        </w:rPr>
        <w:t>or another duly called meeting if approved by the</w:t>
      </w:r>
      <w:r>
        <w:rPr>
          <w:spacing w:val="-14"/>
          <w:sz w:val="24"/>
        </w:rPr>
        <w:t> </w:t>
      </w:r>
      <w:r>
        <w:rPr>
          <w:sz w:val="24"/>
        </w:rPr>
        <w:t>Board.</w:t>
      </w:r>
    </w:p>
    <w:p>
      <w:pPr>
        <w:pStyle w:val="ListParagraph"/>
        <w:numPr>
          <w:ilvl w:val="0"/>
          <w:numId w:val="5"/>
        </w:numPr>
        <w:tabs>
          <w:tab w:pos="2279" w:val="left" w:leader="none"/>
          <w:tab w:pos="2280" w:val="left" w:leader="none"/>
        </w:tabs>
        <w:spacing w:line="240" w:lineRule="auto" w:before="38" w:after="0"/>
        <w:ind w:left="2280" w:right="202" w:hanging="720"/>
        <w:jc w:val="left"/>
        <w:rPr>
          <w:sz w:val="24"/>
        </w:rPr>
      </w:pPr>
      <w:r>
        <w:rPr>
          <w:sz w:val="24"/>
        </w:rPr>
        <w:t>To be elected an officer, a member must receive a majority (50 percent or more) of the votes cast. If there are more than two candidates for an officer position, and no</w:t>
      </w:r>
      <w:r>
        <w:rPr>
          <w:spacing w:val="-18"/>
          <w:sz w:val="24"/>
        </w:rPr>
        <w:t> </w:t>
      </w:r>
      <w:r>
        <w:rPr>
          <w:sz w:val="24"/>
        </w:rPr>
        <w:t>candidate receives a majority, the Board may hold a run-off election between the two candidates who receive the most</w:t>
      </w:r>
      <w:r>
        <w:rPr>
          <w:spacing w:val="-3"/>
          <w:sz w:val="24"/>
        </w:rPr>
        <w:t> </w:t>
      </w:r>
      <w:r>
        <w:rPr>
          <w:sz w:val="24"/>
        </w:rPr>
        <w:t>votes.</w:t>
      </w:r>
    </w:p>
    <w:p>
      <w:pPr>
        <w:pStyle w:val="ListParagraph"/>
        <w:numPr>
          <w:ilvl w:val="0"/>
          <w:numId w:val="5"/>
        </w:numPr>
        <w:tabs>
          <w:tab w:pos="2279" w:val="left" w:leader="none"/>
          <w:tab w:pos="2280" w:val="left" w:leader="none"/>
        </w:tabs>
        <w:spacing w:line="240" w:lineRule="auto" w:before="41" w:after="0"/>
        <w:ind w:left="2280" w:right="208" w:hanging="720"/>
        <w:jc w:val="left"/>
        <w:rPr>
          <w:sz w:val="24"/>
        </w:rPr>
      </w:pPr>
      <w:r>
        <w:rPr>
          <w:sz w:val="24"/>
        </w:rPr>
        <w:t>If an officer position becomes vacant before the term has expired, the Board shall elect a replacement. The new officer elected shall serve the remainder of the term of the departing officer and subsequently be eligible for election for up to two additional</w:t>
      </w:r>
      <w:r>
        <w:rPr>
          <w:spacing w:val="-21"/>
          <w:sz w:val="24"/>
        </w:rPr>
        <w:t> </w:t>
      </w:r>
      <w:r>
        <w:rPr>
          <w:sz w:val="24"/>
        </w:rPr>
        <w:t>terms.</w:t>
      </w:r>
    </w:p>
    <w:p>
      <w:pPr>
        <w:pStyle w:val="BodyText"/>
        <w:ind w:left="0"/>
      </w:pPr>
    </w:p>
    <w:p>
      <w:pPr>
        <w:pStyle w:val="Heading2"/>
        <w:tabs>
          <w:tab w:pos="1559" w:val="left" w:leader="none"/>
        </w:tabs>
        <w:rPr>
          <w:i/>
        </w:rPr>
      </w:pPr>
      <w:r>
        <w:rPr>
          <w:i/>
        </w:rPr>
        <w:t>Section</w:t>
      </w:r>
      <w:r>
        <w:rPr>
          <w:i/>
          <w:spacing w:val="-1"/>
        </w:rPr>
        <w:t> </w:t>
      </w:r>
      <w:r>
        <w:rPr>
          <w:i/>
        </w:rPr>
        <w:t>4.</w:t>
        <w:tab/>
        <w:t>Duties of the</w:t>
      </w:r>
      <w:r>
        <w:rPr>
          <w:i/>
          <w:spacing w:val="-2"/>
        </w:rPr>
        <w:t> </w:t>
      </w:r>
      <w:r>
        <w:rPr>
          <w:i/>
        </w:rPr>
        <w:t>Chairperson</w:t>
      </w:r>
    </w:p>
    <w:p>
      <w:pPr>
        <w:pStyle w:val="ListParagraph"/>
        <w:numPr>
          <w:ilvl w:val="0"/>
          <w:numId w:val="6"/>
        </w:numPr>
        <w:tabs>
          <w:tab w:pos="2279" w:val="left" w:leader="none"/>
          <w:tab w:pos="2280" w:val="left" w:leader="none"/>
        </w:tabs>
        <w:spacing w:line="240" w:lineRule="auto" w:before="0" w:after="0"/>
        <w:ind w:left="2280" w:right="682" w:hanging="720"/>
        <w:jc w:val="left"/>
        <w:rPr>
          <w:sz w:val="24"/>
        </w:rPr>
      </w:pPr>
      <w:r>
        <w:rPr>
          <w:sz w:val="24"/>
        </w:rPr>
        <w:t>The Chairperson shall prepare the agenda for each Board meeting and preside at</w:t>
      </w:r>
      <w:r>
        <w:rPr>
          <w:spacing w:val="-18"/>
          <w:sz w:val="24"/>
        </w:rPr>
        <w:t> </w:t>
      </w:r>
      <w:r>
        <w:rPr>
          <w:sz w:val="24"/>
        </w:rPr>
        <w:t>the Board</w:t>
      </w:r>
      <w:r>
        <w:rPr>
          <w:spacing w:val="-1"/>
          <w:sz w:val="24"/>
        </w:rPr>
        <w:t> </w:t>
      </w:r>
      <w:r>
        <w:rPr>
          <w:sz w:val="24"/>
        </w:rPr>
        <w:t>meetings.</w:t>
      </w:r>
    </w:p>
    <w:p>
      <w:pPr>
        <w:pStyle w:val="ListParagraph"/>
        <w:numPr>
          <w:ilvl w:val="0"/>
          <w:numId w:val="6"/>
        </w:numPr>
        <w:tabs>
          <w:tab w:pos="2279" w:val="left" w:leader="none"/>
          <w:tab w:pos="2280" w:val="left" w:leader="none"/>
        </w:tabs>
        <w:spacing w:line="240" w:lineRule="auto" w:before="0" w:after="0"/>
        <w:ind w:left="2280" w:right="322" w:hanging="720"/>
        <w:jc w:val="left"/>
        <w:rPr>
          <w:sz w:val="24"/>
        </w:rPr>
      </w:pPr>
      <w:r>
        <w:rPr>
          <w:sz w:val="24"/>
        </w:rPr>
        <w:t>Upon approval of the Board, the Chairperson will speak for the Board and represent</w:t>
      </w:r>
      <w:r>
        <w:rPr>
          <w:spacing w:val="-17"/>
          <w:sz w:val="24"/>
        </w:rPr>
        <w:t> </w:t>
      </w:r>
      <w:r>
        <w:rPr>
          <w:sz w:val="24"/>
        </w:rPr>
        <w:t>the Board at meetings of official and community</w:t>
      </w:r>
      <w:r>
        <w:rPr>
          <w:spacing w:val="-3"/>
          <w:sz w:val="24"/>
        </w:rPr>
        <w:t> </w:t>
      </w:r>
      <w:r>
        <w:rPr>
          <w:sz w:val="24"/>
        </w:rPr>
        <w:t>groups.</w:t>
      </w:r>
    </w:p>
    <w:p>
      <w:pPr>
        <w:pStyle w:val="ListParagraph"/>
        <w:numPr>
          <w:ilvl w:val="0"/>
          <w:numId w:val="6"/>
        </w:numPr>
        <w:tabs>
          <w:tab w:pos="2279" w:val="left" w:leader="none"/>
          <w:tab w:pos="2280" w:val="left" w:leader="none"/>
        </w:tabs>
        <w:spacing w:line="240" w:lineRule="auto" w:before="1" w:after="0"/>
        <w:ind w:left="2280" w:right="0" w:hanging="720"/>
        <w:jc w:val="left"/>
        <w:rPr>
          <w:sz w:val="24"/>
        </w:rPr>
      </w:pPr>
      <w:r>
        <w:rPr>
          <w:sz w:val="24"/>
        </w:rPr>
        <w:t>The Chairperson shall maintain communication with the Health</w:t>
      </w:r>
      <w:r>
        <w:rPr>
          <w:spacing w:val="-6"/>
          <w:sz w:val="24"/>
        </w:rPr>
        <w:t> </w:t>
      </w:r>
      <w:r>
        <w:rPr>
          <w:sz w:val="24"/>
        </w:rPr>
        <w:t>Officer.</w:t>
      </w:r>
    </w:p>
    <w:p>
      <w:pPr>
        <w:pStyle w:val="ListParagraph"/>
        <w:numPr>
          <w:ilvl w:val="0"/>
          <w:numId w:val="6"/>
        </w:numPr>
        <w:tabs>
          <w:tab w:pos="2279" w:val="left" w:leader="none"/>
          <w:tab w:pos="2280" w:val="left" w:leader="none"/>
        </w:tabs>
        <w:spacing w:line="240" w:lineRule="auto" w:before="0" w:after="0"/>
        <w:ind w:left="2280" w:right="141" w:hanging="720"/>
        <w:jc w:val="left"/>
        <w:rPr>
          <w:sz w:val="24"/>
        </w:rPr>
      </w:pPr>
      <w:r>
        <w:rPr>
          <w:sz w:val="24"/>
        </w:rPr>
        <w:t>The Chairperson shall meet with the Commissioners, including such individual</w:t>
      </w:r>
      <w:r>
        <w:rPr>
          <w:spacing w:val="-21"/>
          <w:sz w:val="24"/>
        </w:rPr>
        <w:t> </w:t>
      </w:r>
      <w:r>
        <w:rPr>
          <w:sz w:val="24"/>
        </w:rPr>
        <w:t>members, as necessary. They shall meet with HSC, including its individual members, as necessary. They shall meet with County administrators, and other officials, task forces as well as individual members of human service agencies, as</w:t>
      </w:r>
      <w:r>
        <w:rPr>
          <w:spacing w:val="-2"/>
          <w:sz w:val="24"/>
        </w:rPr>
        <w:t> </w:t>
      </w:r>
      <w:r>
        <w:rPr>
          <w:sz w:val="24"/>
        </w:rPr>
        <w:t>necessary.</w:t>
      </w:r>
    </w:p>
    <w:p>
      <w:pPr>
        <w:spacing w:after="0" w:line="240" w:lineRule="auto"/>
        <w:jc w:val="left"/>
        <w:rPr>
          <w:sz w:val="24"/>
        </w:rPr>
        <w:sectPr>
          <w:pgSz w:w="12240" w:h="15840"/>
          <w:pgMar w:top="1360" w:bottom="280" w:left="600" w:right="620"/>
        </w:sectPr>
      </w:pPr>
    </w:p>
    <w:p>
      <w:pPr>
        <w:pStyle w:val="ListParagraph"/>
        <w:numPr>
          <w:ilvl w:val="0"/>
          <w:numId w:val="6"/>
        </w:numPr>
        <w:tabs>
          <w:tab w:pos="2279" w:val="left" w:leader="none"/>
          <w:tab w:pos="2280" w:val="left" w:leader="none"/>
        </w:tabs>
        <w:spacing w:line="240" w:lineRule="auto" w:before="79" w:after="0"/>
        <w:ind w:left="2280" w:right="149" w:hanging="720"/>
        <w:jc w:val="left"/>
        <w:rPr>
          <w:sz w:val="24"/>
        </w:rPr>
      </w:pPr>
      <w:r>
        <w:rPr>
          <w:sz w:val="24"/>
        </w:rPr>
        <w:t>As necessary, the Chairperson may designate another member of the Board for any of</w:t>
      </w:r>
      <w:r>
        <w:rPr>
          <w:spacing w:val="-21"/>
          <w:sz w:val="24"/>
        </w:rPr>
        <w:t> </w:t>
      </w:r>
      <w:r>
        <w:rPr>
          <w:sz w:val="24"/>
        </w:rPr>
        <w:t>the roles in this</w:t>
      </w:r>
      <w:r>
        <w:rPr>
          <w:spacing w:val="-1"/>
          <w:sz w:val="24"/>
        </w:rPr>
        <w:t> </w:t>
      </w:r>
      <w:r>
        <w:rPr>
          <w:sz w:val="24"/>
        </w:rPr>
        <w:t>section.</w:t>
      </w:r>
    </w:p>
    <w:p>
      <w:pPr>
        <w:pStyle w:val="BodyText"/>
        <w:ind w:left="0"/>
      </w:pPr>
    </w:p>
    <w:p>
      <w:pPr>
        <w:pStyle w:val="Heading2"/>
        <w:tabs>
          <w:tab w:pos="1559" w:val="left" w:leader="none"/>
        </w:tabs>
        <w:rPr>
          <w:i/>
        </w:rPr>
      </w:pPr>
      <w:r>
        <w:rPr>
          <w:i/>
        </w:rPr>
        <w:t>Section</w:t>
      </w:r>
      <w:r>
        <w:rPr>
          <w:i/>
          <w:spacing w:val="-1"/>
        </w:rPr>
        <w:t> </w:t>
      </w:r>
      <w:r>
        <w:rPr>
          <w:i/>
        </w:rPr>
        <w:t>5.</w:t>
        <w:tab/>
        <w:t>Duties of the Vice-Chairperson</w:t>
      </w:r>
    </w:p>
    <w:p>
      <w:pPr>
        <w:pStyle w:val="ListParagraph"/>
        <w:numPr>
          <w:ilvl w:val="0"/>
          <w:numId w:val="7"/>
        </w:numPr>
        <w:tabs>
          <w:tab w:pos="2279" w:val="left" w:leader="none"/>
          <w:tab w:pos="2280" w:val="left" w:leader="none"/>
        </w:tabs>
        <w:spacing w:line="240" w:lineRule="auto" w:before="0" w:after="0"/>
        <w:ind w:left="2280" w:right="518" w:hanging="720"/>
        <w:jc w:val="left"/>
        <w:rPr>
          <w:sz w:val="24"/>
        </w:rPr>
      </w:pPr>
      <w:r>
        <w:rPr>
          <w:sz w:val="24"/>
        </w:rPr>
        <w:t>The Vice-Chairperson shall assume the duties of the Chairperson in the</w:t>
      </w:r>
      <w:r>
        <w:rPr>
          <w:spacing w:val="-19"/>
          <w:sz w:val="24"/>
        </w:rPr>
        <w:t> </w:t>
      </w:r>
      <w:r>
        <w:rPr>
          <w:sz w:val="24"/>
        </w:rPr>
        <w:t>Chairperson's absence or by the Chairperson's</w:t>
      </w:r>
      <w:r>
        <w:rPr>
          <w:spacing w:val="-9"/>
          <w:sz w:val="24"/>
        </w:rPr>
        <w:t> </w:t>
      </w:r>
      <w:r>
        <w:rPr>
          <w:sz w:val="24"/>
        </w:rPr>
        <w:t>delegation.</w:t>
      </w:r>
    </w:p>
    <w:p>
      <w:pPr>
        <w:pStyle w:val="ListParagraph"/>
        <w:numPr>
          <w:ilvl w:val="0"/>
          <w:numId w:val="7"/>
        </w:numPr>
        <w:tabs>
          <w:tab w:pos="2279" w:val="left" w:leader="none"/>
          <w:tab w:pos="2280" w:val="left" w:leader="none"/>
        </w:tabs>
        <w:spacing w:line="240" w:lineRule="auto" w:before="0" w:after="0"/>
        <w:ind w:left="2280" w:right="0" w:hanging="720"/>
        <w:jc w:val="left"/>
        <w:rPr>
          <w:sz w:val="24"/>
        </w:rPr>
      </w:pPr>
      <w:r>
        <w:rPr>
          <w:sz w:val="24"/>
        </w:rPr>
        <w:t>The Vice-Chairperson shall be responsible to ensure the Open Meetings Act is</w:t>
      </w:r>
      <w:r>
        <w:rPr>
          <w:spacing w:val="-16"/>
          <w:sz w:val="24"/>
        </w:rPr>
        <w:t> </w:t>
      </w:r>
      <w:r>
        <w:rPr>
          <w:sz w:val="24"/>
        </w:rPr>
        <w:t>followed.</w:t>
      </w:r>
    </w:p>
    <w:p>
      <w:pPr>
        <w:pStyle w:val="ListParagraph"/>
        <w:numPr>
          <w:ilvl w:val="0"/>
          <w:numId w:val="7"/>
        </w:numPr>
        <w:tabs>
          <w:tab w:pos="2279" w:val="left" w:leader="none"/>
          <w:tab w:pos="2280" w:val="left" w:leader="none"/>
        </w:tabs>
        <w:spacing w:line="240" w:lineRule="auto" w:before="0" w:after="0"/>
        <w:ind w:left="2280" w:right="474" w:hanging="720"/>
        <w:jc w:val="left"/>
        <w:rPr>
          <w:sz w:val="24"/>
        </w:rPr>
      </w:pPr>
      <w:r>
        <w:rPr>
          <w:sz w:val="24"/>
        </w:rPr>
        <w:t>The Vice-Chairperson shall serve as the official representative to the National Association of Local Boards of Health (NALBOH) and vote on behalf of the Board</w:t>
      </w:r>
      <w:r>
        <w:rPr>
          <w:spacing w:val="-19"/>
          <w:sz w:val="24"/>
        </w:rPr>
        <w:t> </w:t>
      </w:r>
      <w:r>
        <w:rPr>
          <w:sz w:val="24"/>
        </w:rPr>
        <w:t>in their</w:t>
      </w:r>
      <w:r>
        <w:rPr>
          <w:spacing w:val="-2"/>
          <w:sz w:val="24"/>
        </w:rPr>
        <w:t> </w:t>
      </w:r>
      <w:r>
        <w:rPr>
          <w:sz w:val="24"/>
        </w:rPr>
        <w:t>elections.</w:t>
      </w:r>
    </w:p>
    <w:p>
      <w:pPr>
        <w:pStyle w:val="BodyText"/>
        <w:spacing w:before="10"/>
        <w:ind w:left="0"/>
        <w:rPr>
          <w:sz w:val="20"/>
        </w:rPr>
      </w:pPr>
    </w:p>
    <w:p>
      <w:pPr>
        <w:pStyle w:val="Heading1"/>
        <w:jc w:val="both"/>
      </w:pPr>
      <w:r>
        <w:rPr/>
        <w:t>Article VI. Duties and Powers</w:t>
      </w:r>
    </w:p>
    <w:p>
      <w:pPr>
        <w:pStyle w:val="Heading2"/>
        <w:spacing w:before="22"/>
        <w:jc w:val="both"/>
        <w:rPr>
          <w:i/>
        </w:rPr>
      </w:pPr>
      <w:r>
        <w:rPr>
          <w:i/>
        </w:rPr>
        <w:t>Section 1. Duties</w:t>
      </w:r>
    </w:p>
    <w:p>
      <w:pPr>
        <w:pStyle w:val="ListParagraph"/>
        <w:numPr>
          <w:ilvl w:val="0"/>
          <w:numId w:val="8"/>
        </w:numPr>
        <w:tabs>
          <w:tab w:pos="2280" w:val="left" w:leader="none"/>
        </w:tabs>
        <w:spacing w:line="240" w:lineRule="auto" w:before="0" w:after="0"/>
        <w:ind w:left="2280" w:right="673" w:hanging="720"/>
        <w:jc w:val="both"/>
        <w:rPr>
          <w:sz w:val="24"/>
        </w:rPr>
      </w:pPr>
      <w:r>
        <w:rPr>
          <w:sz w:val="24"/>
        </w:rPr>
        <w:t>As mentioned in Article II, the Board shall advise the Commissioners, including</w:t>
      </w:r>
      <w:r>
        <w:rPr>
          <w:spacing w:val="-20"/>
          <w:sz w:val="24"/>
        </w:rPr>
        <w:t> </w:t>
      </w:r>
      <w:r>
        <w:rPr>
          <w:sz w:val="24"/>
        </w:rPr>
        <w:t>the HSC, on public health</w:t>
      </w:r>
      <w:r>
        <w:rPr>
          <w:spacing w:val="-2"/>
          <w:sz w:val="24"/>
        </w:rPr>
        <w:t> </w:t>
      </w:r>
      <w:r>
        <w:rPr>
          <w:sz w:val="24"/>
        </w:rPr>
        <w:t>matters.</w:t>
      </w:r>
    </w:p>
    <w:p>
      <w:pPr>
        <w:pStyle w:val="ListParagraph"/>
        <w:numPr>
          <w:ilvl w:val="0"/>
          <w:numId w:val="8"/>
        </w:numPr>
        <w:tabs>
          <w:tab w:pos="2280" w:val="left" w:leader="none"/>
        </w:tabs>
        <w:spacing w:line="240" w:lineRule="auto" w:before="0" w:after="0"/>
        <w:ind w:left="2280" w:right="135" w:hanging="720"/>
        <w:jc w:val="both"/>
        <w:rPr>
          <w:sz w:val="24"/>
        </w:rPr>
      </w:pPr>
      <w:r>
        <w:rPr>
          <w:sz w:val="24"/>
        </w:rPr>
        <w:t>The Board shall recommend to the Commissioners the adoption of rules, regulations, and resolutions deemed necessary for the protection and promotion of health and safety of</w:t>
      </w:r>
      <w:r>
        <w:rPr>
          <w:spacing w:val="-16"/>
          <w:sz w:val="24"/>
        </w:rPr>
        <w:t> </w:t>
      </w:r>
      <w:r>
        <w:rPr>
          <w:sz w:val="24"/>
        </w:rPr>
        <w:t>the County's</w:t>
      </w:r>
      <w:r>
        <w:rPr>
          <w:spacing w:val="-1"/>
          <w:sz w:val="24"/>
        </w:rPr>
        <w:t> </w:t>
      </w:r>
      <w:r>
        <w:rPr>
          <w:sz w:val="24"/>
        </w:rPr>
        <w:t>inhabitants.</w:t>
      </w:r>
    </w:p>
    <w:p>
      <w:pPr>
        <w:pStyle w:val="ListParagraph"/>
        <w:numPr>
          <w:ilvl w:val="0"/>
          <w:numId w:val="8"/>
        </w:numPr>
        <w:tabs>
          <w:tab w:pos="2279" w:val="left" w:leader="none"/>
          <w:tab w:pos="2280" w:val="left" w:leader="none"/>
        </w:tabs>
        <w:spacing w:line="240" w:lineRule="auto" w:before="0" w:after="0"/>
        <w:ind w:left="2280" w:right="275" w:hanging="720"/>
        <w:jc w:val="left"/>
        <w:rPr>
          <w:sz w:val="24"/>
        </w:rPr>
      </w:pPr>
      <w:r>
        <w:rPr>
          <w:sz w:val="24"/>
        </w:rPr>
        <w:t>The Board shall provide a broad-based focal point for community member and health professional input to the Commissioners, HSC, and Health Department regarding</w:t>
      </w:r>
      <w:r>
        <w:rPr>
          <w:spacing w:val="-21"/>
          <w:sz w:val="24"/>
        </w:rPr>
        <w:t> </w:t>
      </w:r>
      <w:r>
        <w:rPr>
          <w:sz w:val="24"/>
        </w:rPr>
        <w:t>public health</w:t>
      </w:r>
      <w:r>
        <w:rPr>
          <w:spacing w:val="-1"/>
          <w:sz w:val="24"/>
        </w:rPr>
        <w:t> </w:t>
      </w:r>
      <w:r>
        <w:rPr>
          <w:sz w:val="24"/>
        </w:rPr>
        <w:t>matters.</w:t>
      </w:r>
    </w:p>
    <w:p>
      <w:pPr>
        <w:pStyle w:val="ListParagraph"/>
        <w:numPr>
          <w:ilvl w:val="0"/>
          <w:numId w:val="8"/>
        </w:numPr>
        <w:tabs>
          <w:tab w:pos="2279" w:val="left" w:leader="none"/>
          <w:tab w:pos="2280" w:val="left" w:leader="none"/>
        </w:tabs>
        <w:spacing w:line="240" w:lineRule="auto" w:before="0" w:after="0"/>
        <w:ind w:left="2280" w:right="813" w:hanging="720"/>
        <w:jc w:val="left"/>
        <w:rPr>
          <w:sz w:val="24"/>
        </w:rPr>
      </w:pPr>
      <w:r>
        <w:rPr>
          <w:sz w:val="24"/>
        </w:rPr>
        <w:t>The Board shall report at least annually to the HSC, shall respond to questions</w:t>
      </w:r>
      <w:r>
        <w:rPr>
          <w:spacing w:val="-17"/>
          <w:sz w:val="24"/>
        </w:rPr>
        <w:t> </w:t>
      </w:r>
      <w:r>
        <w:rPr>
          <w:sz w:val="24"/>
        </w:rPr>
        <w:t>and requests from the HSC, and participate as requested by the HSC on ad hoc subcommittees.</w:t>
      </w:r>
    </w:p>
    <w:p>
      <w:pPr>
        <w:pStyle w:val="Heading2"/>
        <w:tabs>
          <w:tab w:pos="1559" w:val="left" w:leader="none"/>
        </w:tabs>
        <w:rPr>
          <w:i/>
        </w:rPr>
      </w:pPr>
      <w:r>
        <w:rPr>
          <w:i/>
        </w:rPr>
        <w:t>Section</w:t>
      </w:r>
      <w:r>
        <w:rPr>
          <w:i/>
          <w:spacing w:val="-1"/>
        </w:rPr>
        <w:t> </w:t>
      </w:r>
      <w:r>
        <w:rPr>
          <w:i/>
        </w:rPr>
        <w:t>2.</w:t>
        <w:tab/>
        <w:t>Powers</w:t>
      </w:r>
    </w:p>
    <w:p>
      <w:pPr>
        <w:pStyle w:val="ListParagraph"/>
        <w:numPr>
          <w:ilvl w:val="0"/>
          <w:numId w:val="9"/>
        </w:numPr>
        <w:tabs>
          <w:tab w:pos="2279" w:val="left" w:leader="none"/>
          <w:tab w:pos="2280" w:val="left" w:leader="none"/>
        </w:tabs>
        <w:spacing w:line="240" w:lineRule="auto" w:before="0" w:after="0"/>
        <w:ind w:left="2280" w:right="213" w:hanging="720"/>
        <w:jc w:val="left"/>
        <w:rPr>
          <w:sz w:val="24"/>
        </w:rPr>
      </w:pPr>
      <w:r>
        <w:rPr>
          <w:sz w:val="24"/>
        </w:rPr>
        <w:t>The Board may make public statements and pass resolutions about public health questions following the procedures outlined in Article VII. In so doing the Board shall at all times keep the best interests of the people of Ingham County and the Ingham County Health Department in</w:t>
      </w:r>
      <w:r>
        <w:rPr>
          <w:spacing w:val="-1"/>
          <w:sz w:val="24"/>
        </w:rPr>
        <w:t> </w:t>
      </w:r>
      <w:r>
        <w:rPr>
          <w:sz w:val="24"/>
        </w:rPr>
        <w:t>mind.</w:t>
      </w:r>
    </w:p>
    <w:p>
      <w:pPr>
        <w:pStyle w:val="ListParagraph"/>
        <w:numPr>
          <w:ilvl w:val="0"/>
          <w:numId w:val="9"/>
        </w:numPr>
        <w:tabs>
          <w:tab w:pos="2279" w:val="left" w:leader="none"/>
          <w:tab w:pos="2280" w:val="left" w:leader="none"/>
        </w:tabs>
        <w:spacing w:line="240" w:lineRule="auto" w:before="0" w:after="0"/>
        <w:ind w:left="2280" w:right="200" w:hanging="720"/>
        <w:jc w:val="left"/>
        <w:rPr>
          <w:sz w:val="24"/>
        </w:rPr>
      </w:pPr>
      <w:r>
        <w:rPr>
          <w:sz w:val="24"/>
        </w:rPr>
        <w:t>The Board may create and participate in standing committees, subcommittees, work groups and special committees as determined from time to time to be in the best interests of the community and assign or delegate to them such duties and responsibilities as may be deemed appropriate and permissible by law. Nonmembers may serve on committees, subcommittees and special committees created by the Board, but shall not act as chairperson of any of</w:t>
      </w:r>
      <w:r>
        <w:rPr>
          <w:spacing w:val="-7"/>
          <w:sz w:val="24"/>
        </w:rPr>
        <w:t> </w:t>
      </w:r>
      <w:r>
        <w:rPr>
          <w:sz w:val="24"/>
        </w:rPr>
        <w:t>them.</w:t>
      </w:r>
    </w:p>
    <w:p>
      <w:pPr>
        <w:pStyle w:val="ListParagraph"/>
        <w:numPr>
          <w:ilvl w:val="0"/>
          <w:numId w:val="9"/>
        </w:numPr>
        <w:tabs>
          <w:tab w:pos="2279" w:val="left" w:leader="none"/>
          <w:tab w:pos="2280" w:val="left" w:leader="none"/>
        </w:tabs>
        <w:spacing w:line="240" w:lineRule="auto" w:before="0" w:after="0"/>
        <w:ind w:left="2280" w:right="254" w:hanging="720"/>
        <w:jc w:val="left"/>
        <w:rPr>
          <w:sz w:val="24"/>
        </w:rPr>
      </w:pPr>
      <w:r>
        <w:rPr>
          <w:sz w:val="24"/>
        </w:rPr>
        <w:t>The Board shall participate in state and local organizations, conferences and seminars as deemed necessary for education and information of the</w:t>
      </w:r>
      <w:r>
        <w:rPr>
          <w:spacing w:val="-6"/>
          <w:sz w:val="24"/>
        </w:rPr>
        <w:t> </w:t>
      </w:r>
      <w:r>
        <w:rPr>
          <w:sz w:val="24"/>
        </w:rPr>
        <w:t>members.</w:t>
      </w:r>
    </w:p>
    <w:p>
      <w:pPr>
        <w:pStyle w:val="ListParagraph"/>
        <w:numPr>
          <w:ilvl w:val="0"/>
          <w:numId w:val="9"/>
        </w:numPr>
        <w:tabs>
          <w:tab w:pos="2279" w:val="left" w:leader="none"/>
          <w:tab w:pos="2280" w:val="left" w:leader="none"/>
        </w:tabs>
        <w:spacing w:line="240" w:lineRule="auto" w:before="0" w:after="0"/>
        <w:ind w:left="2280" w:right="328" w:hanging="720"/>
        <w:jc w:val="left"/>
        <w:rPr>
          <w:sz w:val="24"/>
        </w:rPr>
      </w:pPr>
      <w:r>
        <w:rPr>
          <w:sz w:val="24"/>
        </w:rPr>
        <w:t>Appointments to committees and to state and local organizations shall be made by the Chairperson with approval of the Board. The right of Board members to participate in professional activities when not acting in their official capacity as Board members</w:t>
      </w:r>
      <w:r>
        <w:rPr>
          <w:spacing w:val="-25"/>
          <w:sz w:val="24"/>
        </w:rPr>
        <w:t> </w:t>
      </w:r>
      <w:r>
        <w:rPr>
          <w:sz w:val="24"/>
        </w:rPr>
        <w:t>shall not be limited by their membership on the</w:t>
      </w:r>
      <w:r>
        <w:rPr>
          <w:spacing w:val="-9"/>
          <w:sz w:val="24"/>
        </w:rPr>
        <w:t> </w:t>
      </w:r>
      <w:r>
        <w:rPr>
          <w:sz w:val="24"/>
        </w:rPr>
        <w:t>Board.</w:t>
      </w:r>
    </w:p>
    <w:p>
      <w:pPr>
        <w:pStyle w:val="ListParagraph"/>
        <w:numPr>
          <w:ilvl w:val="0"/>
          <w:numId w:val="9"/>
        </w:numPr>
        <w:tabs>
          <w:tab w:pos="2279" w:val="left" w:leader="none"/>
          <w:tab w:pos="2280" w:val="left" w:leader="none"/>
        </w:tabs>
        <w:spacing w:line="240" w:lineRule="auto" w:before="0" w:after="0"/>
        <w:ind w:left="2280" w:right="625" w:hanging="720"/>
        <w:jc w:val="left"/>
        <w:rPr>
          <w:sz w:val="24"/>
        </w:rPr>
      </w:pPr>
      <w:r>
        <w:rPr>
          <w:sz w:val="24"/>
        </w:rPr>
        <w:t>The Board shall serve as the Ingham County Sanitary Appeals Board pursuant to the Ingham County Sanitary</w:t>
      </w:r>
      <w:r>
        <w:rPr>
          <w:spacing w:val="-9"/>
          <w:sz w:val="24"/>
        </w:rPr>
        <w:t> </w:t>
      </w:r>
      <w:r>
        <w:rPr>
          <w:sz w:val="24"/>
        </w:rPr>
        <w:t>Code.</w:t>
      </w:r>
    </w:p>
    <w:p>
      <w:pPr>
        <w:pStyle w:val="BodyText"/>
        <w:ind w:left="0"/>
      </w:pPr>
    </w:p>
    <w:p>
      <w:pPr>
        <w:pStyle w:val="Heading1"/>
        <w:tabs>
          <w:tab w:pos="1559" w:val="left" w:leader="none"/>
        </w:tabs>
      </w:pPr>
      <w:r>
        <w:rPr/>
        <w:t>Article</w:t>
      </w:r>
      <w:r>
        <w:rPr>
          <w:spacing w:val="-3"/>
        </w:rPr>
        <w:t> </w:t>
      </w:r>
      <w:r>
        <w:rPr/>
        <w:t>VII.</w:t>
        <w:tab/>
        <w:t>Conduct of Business</w:t>
      </w:r>
    </w:p>
    <w:p>
      <w:pPr>
        <w:pStyle w:val="BodyText"/>
        <w:ind w:left="0"/>
        <w:rPr>
          <w:b/>
        </w:rPr>
      </w:pPr>
    </w:p>
    <w:p>
      <w:pPr>
        <w:tabs>
          <w:tab w:pos="1559" w:val="left" w:leader="none"/>
        </w:tabs>
        <w:spacing w:before="1"/>
        <w:ind w:left="120" w:right="0" w:firstLine="0"/>
        <w:jc w:val="left"/>
        <w:rPr>
          <w:i/>
          <w:sz w:val="24"/>
        </w:rPr>
      </w:pPr>
      <w:r>
        <w:rPr>
          <w:i/>
          <w:sz w:val="24"/>
        </w:rPr>
        <w:t>Section</w:t>
      </w:r>
      <w:r>
        <w:rPr>
          <w:i/>
          <w:spacing w:val="-1"/>
          <w:sz w:val="24"/>
        </w:rPr>
        <w:t> </w:t>
      </w:r>
      <w:r>
        <w:rPr>
          <w:i/>
          <w:sz w:val="24"/>
        </w:rPr>
        <w:t>1.</w:t>
        <w:tab/>
        <w:t>Regular Meetings</w:t>
      </w:r>
    </w:p>
    <w:p>
      <w:pPr>
        <w:spacing w:after="0"/>
        <w:jc w:val="left"/>
        <w:rPr>
          <w:sz w:val="24"/>
        </w:rPr>
        <w:sectPr>
          <w:pgSz w:w="12240" w:h="15840"/>
          <w:pgMar w:top="1360" w:bottom="280" w:left="600" w:right="620"/>
        </w:sectPr>
      </w:pPr>
    </w:p>
    <w:p>
      <w:pPr>
        <w:pStyle w:val="BodyText"/>
        <w:spacing w:before="79"/>
        <w:ind w:left="120" w:right="377"/>
      </w:pPr>
      <w:r>
        <w:rPr/>
        <w:t>The Board shall meet at least six times a year. Meetings shall follow a regular schedule which shall be determined at the final annual meeting in December, following the election of officers. Meeting dates may be amended or changed by a vote of the Board members.</w:t>
      </w:r>
    </w:p>
    <w:p>
      <w:pPr>
        <w:pStyle w:val="BodyText"/>
        <w:spacing w:before="11"/>
        <w:ind w:left="0"/>
        <w:rPr>
          <w:sz w:val="32"/>
        </w:rPr>
      </w:pPr>
    </w:p>
    <w:p>
      <w:pPr>
        <w:tabs>
          <w:tab w:pos="1559" w:val="left" w:leader="none"/>
        </w:tabs>
        <w:spacing w:before="0"/>
        <w:ind w:left="120" w:right="0" w:firstLine="0"/>
        <w:jc w:val="left"/>
        <w:rPr>
          <w:i/>
          <w:sz w:val="24"/>
        </w:rPr>
      </w:pPr>
      <w:r>
        <w:rPr>
          <w:i/>
          <w:sz w:val="24"/>
        </w:rPr>
        <w:t>Section</w:t>
      </w:r>
      <w:r>
        <w:rPr>
          <w:i/>
          <w:spacing w:val="-1"/>
          <w:sz w:val="24"/>
        </w:rPr>
        <w:t> </w:t>
      </w:r>
      <w:r>
        <w:rPr>
          <w:i/>
          <w:sz w:val="24"/>
        </w:rPr>
        <w:t>2.</w:t>
        <w:tab/>
        <w:t>Quorum</w:t>
      </w:r>
    </w:p>
    <w:p>
      <w:pPr>
        <w:pStyle w:val="BodyText"/>
        <w:spacing w:before="19"/>
        <w:ind w:left="120" w:right="83"/>
      </w:pPr>
      <w:r>
        <w:rPr/>
        <w:t>A quorum of the Board shall be six or more members present at a duly called meeting, or, if there are fewer than 11 Board positions filled, more than 50 percent of the total number of Board members. Except as otherwise provided in these bylaws, official action is taken by the Board when a majority of those present at a duly called meeting supports that action in a vote taken at the meeting.</w:t>
      </w:r>
    </w:p>
    <w:p>
      <w:pPr>
        <w:pStyle w:val="BodyText"/>
        <w:ind w:left="0"/>
        <w:rPr>
          <w:sz w:val="33"/>
        </w:rPr>
      </w:pPr>
    </w:p>
    <w:p>
      <w:pPr>
        <w:tabs>
          <w:tab w:pos="1559" w:val="left" w:leader="none"/>
        </w:tabs>
        <w:spacing w:before="0"/>
        <w:ind w:left="120" w:right="0" w:firstLine="0"/>
        <w:jc w:val="left"/>
        <w:rPr>
          <w:i/>
          <w:sz w:val="24"/>
        </w:rPr>
      </w:pPr>
      <w:r>
        <w:rPr>
          <w:i/>
          <w:sz w:val="24"/>
        </w:rPr>
        <w:t>Section</w:t>
      </w:r>
      <w:r>
        <w:rPr>
          <w:i/>
          <w:spacing w:val="-1"/>
          <w:sz w:val="24"/>
        </w:rPr>
        <w:t> </w:t>
      </w:r>
      <w:r>
        <w:rPr>
          <w:i/>
          <w:sz w:val="24"/>
        </w:rPr>
        <w:t>3.</w:t>
        <w:tab/>
        <w:t>Special Meetings</w:t>
      </w:r>
    </w:p>
    <w:p>
      <w:pPr>
        <w:pStyle w:val="BodyText"/>
        <w:spacing w:before="22"/>
        <w:ind w:left="120" w:right="603"/>
      </w:pPr>
      <w:r>
        <w:rPr/>
        <w:t>The Board may meet in a special meeting as required to conduct urgent business. Special meetings shall be called by the Chairperson.</w:t>
      </w:r>
    </w:p>
    <w:p>
      <w:pPr>
        <w:pStyle w:val="BodyText"/>
        <w:spacing w:before="11"/>
        <w:ind w:left="0"/>
        <w:rPr>
          <w:sz w:val="32"/>
        </w:rPr>
      </w:pPr>
    </w:p>
    <w:p>
      <w:pPr>
        <w:tabs>
          <w:tab w:pos="1559" w:val="left" w:leader="none"/>
        </w:tabs>
        <w:spacing w:before="0"/>
        <w:ind w:left="120" w:right="0" w:firstLine="0"/>
        <w:jc w:val="left"/>
        <w:rPr>
          <w:sz w:val="24"/>
        </w:rPr>
      </w:pPr>
      <w:r>
        <w:rPr>
          <w:i/>
          <w:sz w:val="24"/>
        </w:rPr>
        <w:t>Section</w:t>
      </w:r>
      <w:r>
        <w:rPr>
          <w:i/>
          <w:spacing w:val="-1"/>
          <w:sz w:val="24"/>
        </w:rPr>
        <w:t> </w:t>
      </w:r>
      <w:r>
        <w:rPr>
          <w:i/>
          <w:sz w:val="24"/>
        </w:rPr>
        <w:t>4.</w:t>
        <w:tab/>
      </w:r>
      <w:r>
        <w:rPr>
          <w:sz w:val="24"/>
        </w:rPr>
        <w:t>Open Meetings</w:t>
      </w:r>
    </w:p>
    <w:p>
      <w:pPr>
        <w:pStyle w:val="BodyText"/>
        <w:spacing w:before="60"/>
        <w:ind w:left="120" w:right="709"/>
      </w:pPr>
      <w:r>
        <w:rPr/>
        <w:t>All meetings of the Board, including special meetings, shall be open to the public as required by the Open Meetings Act, except that closed sessions may be held as permitted by the Open Meetings Act. Upon appointment to the Board, each new member shall receive a copy of the Open Meetings Act.</w:t>
      </w:r>
    </w:p>
    <w:p>
      <w:pPr>
        <w:pStyle w:val="BodyText"/>
        <w:ind w:left="0"/>
        <w:rPr>
          <w:sz w:val="33"/>
        </w:rPr>
      </w:pPr>
    </w:p>
    <w:p>
      <w:pPr>
        <w:pStyle w:val="BodyText"/>
        <w:tabs>
          <w:tab w:pos="1559" w:val="left" w:leader="none"/>
        </w:tabs>
        <w:ind w:left="120"/>
      </w:pPr>
      <w:r>
        <w:rPr/>
        <w:t>Section</w:t>
      </w:r>
      <w:r>
        <w:rPr>
          <w:spacing w:val="-1"/>
        </w:rPr>
        <w:t> </w:t>
      </w:r>
      <w:r>
        <w:rPr/>
        <w:t>5.</w:t>
        <w:tab/>
        <w:t>Rules of</w:t>
      </w:r>
      <w:r>
        <w:rPr>
          <w:spacing w:val="-1"/>
        </w:rPr>
        <w:t> </w:t>
      </w:r>
      <w:r>
        <w:rPr/>
        <w:t>Order</w:t>
      </w:r>
    </w:p>
    <w:p>
      <w:pPr>
        <w:pStyle w:val="ListParagraph"/>
        <w:numPr>
          <w:ilvl w:val="0"/>
          <w:numId w:val="10"/>
        </w:numPr>
        <w:tabs>
          <w:tab w:pos="2279" w:val="left" w:leader="none"/>
          <w:tab w:pos="2280" w:val="left" w:leader="none"/>
        </w:tabs>
        <w:spacing w:line="256" w:lineRule="auto" w:before="62" w:after="0"/>
        <w:ind w:left="2280" w:right="199" w:hanging="720"/>
        <w:jc w:val="left"/>
        <w:rPr>
          <w:sz w:val="24"/>
        </w:rPr>
      </w:pPr>
      <w:r>
        <w:rPr>
          <w:sz w:val="24"/>
        </w:rPr>
        <w:t>When not otherwise provided in these bylaws, the Chairperson and Board members shall follow Robert’s Rules of</w:t>
      </w:r>
      <w:r>
        <w:rPr>
          <w:spacing w:val="-1"/>
          <w:sz w:val="24"/>
        </w:rPr>
        <w:t> </w:t>
      </w:r>
      <w:r>
        <w:rPr>
          <w:sz w:val="24"/>
        </w:rPr>
        <w:t>Order.</w:t>
      </w:r>
    </w:p>
    <w:p>
      <w:pPr>
        <w:pStyle w:val="ListParagraph"/>
        <w:numPr>
          <w:ilvl w:val="0"/>
          <w:numId w:val="10"/>
        </w:numPr>
        <w:tabs>
          <w:tab w:pos="2279" w:val="left" w:leader="none"/>
          <w:tab w:pos="2280" w:val="left" w:leader="none"/>
        </w:tabs>
        <w:spacing w:line="259" w:lineRule="auto" w:before="43" w:after="0"/>
        <w:ind w:left="2280" w:right="506" w:hanging="720"/>
        <w:jc w:val="left"/>
        <w:rPr>
          <w:sz w:val="24"/>
        </w:rPr>
      </w:pPr>
      <w:r>
        <w:rPr>
          <w:sz w:val="24"/>
        </w:rPr>
        <w:t>The agenda for Board meetings shall include, but is not limited to: Call to Order, Roll Call, Reading and Correcting of Minutes, Addition of Items to the Agenda, Limited Public Comment (not to exceed 5 minutes each), and</w:t>
      </w:r>
      <w:r>
        <w:rPr>
          <w:spacing w:val="-5"/>
          <w:sz w:val="24"/>
        </w:rPr>
        <w:t> </w:t>
      </w:r>
      <w:r>
        <w:rPr>
          <w:sz w:val="24"/>
        </w:rPr>
        <w:t>Adjournment.</w:t>
      </w:r>
    </w:p>
    <w:p>
      <w:pPr>
        <w:pStyle w:val="ListParagraph"/>
        <w:numPr>
          <w:ilvl w:val="0"/>
          <w:numId w:val="10"/>
        </w:numPr>
        <w:tabs>
          <w:tab w:pos="2279" w:val="left" w:leader="none"/>
          <w:tab w:pos="2280" w:val="left" w:leader="none"/>
        </w:tabs>
        <w:spacing w:line="259" w:lineRule="auto" w:before="40" w:after="0"/>
        <w:ind w:left="2280" w:right="1081" w:hanging="720"/>
        <w:jc w:val="left"/>
        <w:rPr>
          <w:sz w:val="24"/>
        </w:rPr>
      </w:pPr>
      <w:r>
        <w:rPr>
          <w:sz w:val="24"/>
        </w:rPr>
        <w:t>The Board shall keep minutes of each meeting and post the minutes, so they</w:t>
      </w:r>
      <w:r>
        <w:rPr>
          <w:spacing w:val="-16"/>
          <w:sz w:val="24"/>
        </w:rPr>
        <w:t> </w:t>
      </w:r>
      <w:r>
        <w:rPr>
          <w:sz w:val="24"/>
        </w:rPr>
        <w:t>are accessible to the public as required by the Open Meetings</w:t>
      </w:r>
      <w:r>
        <w:rPr>
          <w:spacing w:val="-8"/>
          <w:sz w:val="24"/>
        </w:rPr>
        <w:t> </w:t>
      </w:r>
      <w:r>
        <w:rPr>
          <w:sz w:val="24"/>
        </w:rPr>
        <w:t>Act.</w:t>
      </w:r>
    </w:p>
    <w:p>
      <w:pPr>
        <w:pStyle w:val="BodyText"/>
        <w:ind w:left="0"/>
        <w:rPr>
          <w:sz w:val="26"/>
        </w:rPr>
      </w:pPr>
    </w:p>
    <w:p>
      <w:pPr>
        <w:pStyle w:val="BodyText"/>
        <w:ind w:left="0"/>
        <w:rPr>
          <w:sz w:val="26"/>
        </w:rPr>
      </w:pPr>
    </w:p>
    <w:p>
      <w:pPr>
        <w:pStyle w:val="Heading1"/>
        <w:spacing w:before="179"/>
      </w:pPr>
      <w:r>
        <w:rPr/>
        <w:t>Article VIII. Bylaws</w:t>
      </w:r>
    </w:p>
    <w:p>
      <w:pPr>
        <w:pStyle w:val="ListParagraph"/>
        <w:numPr>
          <w:ilvl w:val="0"/>
          <w:numId w:val="11"/>
        </w:numPr>
        <w:tabs>
          <w:tab w:pos="2279" w:val="left" w:leader="none"/>
          <w:tab w:pos="2280" w:val="left" w:leader="none"/>
        </w:tabs>
        <w:spacing w:line="259" w:lineRule="auto" w:before="62" w:after="0"/>
        <w:ind w:left="2280" w:right="111" w:hanging="720"/>
        <w:jc w:val="left"/>
        <w:rPr>
          <w:sz w:val="24"/>
        </w:rPr>
      </w:pPr>
      <w:r>
        <w:rPr>
          <w:sz w:val="24"/>
        </w:rPr>
        <w:t>The Board may establish its own bylaws. The Board may amend or repeal any or all of its bylaws at a duly called meeting of the Board pursuant to the provisions of this</w:t>
      </w:r>
      <w:r>
        <w:rPr>
          <w:spacing w:val="-17"/>
          <w:sz w:val="24"/>
        </w:rPr>
        <w:t> </w:t>
      </w:r>
      <w:r>
        <w:rPr>
          <w:sz w:val="24"/>
        </w:rPr>
        <w:t>Article.</w:t>
      </w:r>
    </w:p>
    <w:p>
      <w:pPr>
        <w:pStyle w:val="ListParagraph"/>
        <w:numPr>
          <w:ilvl w:val="0"/>
          <w:numId w:val="11"/>
        </w:numPr>
        <w:tabs>
          <w:tab w:pos="2279" w:val="left" w:leader="none"/>
          <w:tab w:pos="2280" w:val="left" w:leader="none"/>
        </w:tabs>
        <w:spacing w:line="259" w:lineRule="auto" w:before="40" w:after="0"/>
        <w:ind w:left="2280" w:right="127" w:hanging="720"/>
        <w:jc w:val="left"/>
        <w:rPr>
          <w:sz w:val="24"/>
        </w:rPr>
      </w:pPr>
      <w:r>
        <w:rPr>
          <w:sz w:val="24"/>
        </w:rPr>
        <w:t>Any proposed change to the bylaws shall be submitted to the entire Board in writing not more than 30 days and not less than seven days prior to a properly called meeting of the Board at which the proposed change is to be considered and acted upon. A supermajority of 60 percent the Board members present at a meeting (Seven members if all 11 positions are filled and present) shall be necessary to amend or repeal these</w:t>
      </w:r>
      <w:r>
        <w:rPr>
          <w:spacing w:val="-11"/>
          <w:sz w:val="24"/>
        </w:rPr>
        <w:t> </w:t>
      </w:r>
      <w:r>
        <w:rPr>
          <w:sz w:val="24"/>
        </w:rPr>
        <w:t>bylaws.</w:t>
      </w:r>
    </w:p>
    <w:p>
      <w:pPr>
        <w:pStyle w:val="ListParagraph"/>
        <w:numPr>
          <w:ilvl w:val="0"/>
          <w:numId w:val="11"/>
        </w:numPr>
        <w:tabs>
          <w:tab w:pos="2279" w:val="left" w:leader="none"/>
          <w:tab w:pos="2280" w:val="left" w:leader="none"/>
        </w:tabs>
        <w:spacing w:line="240" w:lineRule="auto" w:before="0" w:after="0"/>
        <w:ind w:left="2280" w:right="187" w:hanging="720"/>
        <w:jc w:val="left"/>
        <w:rPr>
          <w:sz w:val="24"/>
        </w:rPr>
      </w:pPr>
      <w:r>
        <w:rPr>
          <w:sz w:val="24"/>
        </w:rPr>
        <w:t>Amended bylaws shall take effect at the next regular meeting of the Board, following the meeting at which they were adopted by the</w:t>
      </w:r>
      <w:r>
        <w:rPr>
          <w:spacing w:val="-11"/>
          <w:sz w:val="24"/>
        </w:rPr>
        <w:t> </w:t>
      </w:r>
      <w:r>
        <w:rPr>
          <w:sz w:val="24"/>
        </w:rPr>
        <w:t>Board.</w:t>
      </w:r>
    </w:p>
    <w:sectPr>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1"/>
      <w:numFmt w:val="upperLetter"/>
      <w:lvlText w:val="%1."/>
      <w:lvlJc w:val="left"/>
      <w:pPr>
        <w:ind w:left="2280" w:hanging="720"/>
        <w:jc w:val="left"/>
      </w:pPr>
      <w:rPr>
        <w:rFonts w:hint="default" w:ascii="Times New Roman" w:hAnsi="Times New Roman" w:eastAsia="Times New Roman" w:cs="Times New Roman"/>
        <w:spacing w:val="-5"/>
        <w:w w:val="100"/>
        <w:sz w:val="24"/>
        <w:szCs w:val="24"/>
      </w:rPr>
    </w:lvl>
    <w:lvl w:ilvl="1">
      <w:start w:val="0"/>
      <w:numFmt w:val="bullet"/>
      <w:lvlText w:val="•"/>
      <w:lvlJc w:val="left"/>
      <w:pPr>
        <w:ind w:left="3154" w:hanging="720"/>
      </w:pPr>
      <w:rPr>
        <w:rFonts w:hint="default"/>
      </w:rPr>
    </w:lvl>
    <w:lvl w:ilvl="2">
      <w:start w:val="0"/>
      <w:numFmt w:val="bullet"/>
      <w:lvlText w:val="•"/>
      <w:lvlJc w:val="left"/>
      <w:pPr>
        <w:ind w:left="4028" w:hanging="720"/>
      </w:pPr>
      <w:rPr>
        <w:rFonts w:hint="default"/>
      </w:rPr>
    </w:lvl>
    <w:lvl w:ilvl="3">
      <w:start w:val="0"/>
      <w:numFmt w:val="bullet"/>
      <w:lvlText w:val="•"/>
      <w:lvlJc w:val="left"/>
      <w:pPr>
        <w:ind w:left="4902" w:hanging="720"/>
      </w:pPr>
      <w:rPr>
        <w:rFonts w:hint="default"/>
      </w:rPr>
    </w:lvl>
    <w:lvl w:ilvl="4">
      <w:start w:val="0"/>
      <w:numFmt w:val="bullet"/>
      <w:lvlText w:val="•"/>
      <w:lvlJc w:val="left"/>
      <w:pPr>
        <w:ind w:left="5776" w:hanging="720"/>
      </w:pPr>
      <w:rPr>
        <w:rFonts w:hint="default"/>
      </w:rPr>
    </w:lvl>
    <w:lvl w:ilvl="5">
      <w:start w:val="0"/>
      <w:numFmt w:val="bullet"/>
      <w:lvlText w:val="•"/>
      <w:lvlJc w:val="left"/>
      <w:pPr>
        <w:ind w:left="6650" w:hanging="720"/>
      </w:pPr>
      <w:rPr>
        <w:rFonts w:hint="default"/>
      </w:rPr>
    </w:lvl>
    <w:lvl w:ilvl="6">
      <w:start w:val="0"/>
      <w:numFmt w:val="bullet"/>
      <w:lvlText w:val="•"/>
      <w:lvlJc w:val="left"/>
      <w:pPr>
        <w:ind w:left="7524" w:hanging="720"/>
      </w:pPr>
      <w:rPr>
        <w:rFonts w:hint="default"/>
      </w:rPr>
    </w:lvl>
    <w:lvl w:ilvl="7">
      <w:start w:val="0"/>
      <w:numFmt w:val="bullet"/>
      <w:lvlText w:val="•"/>
      <w:lvlJc w:val="left"/>
      <w:pPr>
        <w:ind w:left="8398" w:hanging="720"/>
      </w:pPr>
      <w:rPr>
        <w:rFonts w:hint="default"/>
      </w:rPr>
    </w:lvl>
    <w:lvl w:ilvl="8">
      <w:start w:val="0"/>
      <w:numFmt w:val="bullet"/>
      <w:lvlText w:val="•"/>
      <w:lvlJc w:val="left"/>
      <w:pPr>
        <w:ind w:left="9272" w:hanging="720"/>
      </w:pPr>
      <w:rPr>
        <w:rFonts w:hint="default"/>
      </w:rPr>
    </w:lvl>
  </w:abstractNum>
  <w:abstractNum w:abstractNumId="9">
    <w:multiLevelType w:val="hybridMultilevel"/>
    <w:lvl w:ilvl="0">
      <w:start w:val="1"/>
      <w:numFmt w:val="upperLetter"/>
      <w:lvlText w:val="%1."/>
      <w:lvlJc w:val="left"/>
      <w:pPr>
        <w:ind w:left="2280" w:hanging="720"/>
        <w:jc w:val="left"/>
      </w:pPr>
      <w:rPr>
        <w:rFonts w:hint="default" w:ascii="Times New Roman" w:hAnsi="Times New Roman" w:eastAsia="Times New Roman" w:cs="Times New Roman"/>
        <w:spacing w:val="-5"/>
        <w:w w:val="100"/>
        <w:sz w:val="24"/>
        <w:szCs w:val="24"/>
      </w:rPr>
    </w:lvl>
    <w:lvl w:ilvl="1">
      <w:start w:val="0"/>
      <w:numFmt w:val="bullet"/>
      <w:lvlText w:val="•"/>
      <w:lvlJc w:val="left"/>
      <w:pPr>
        <w:ind w:left="3154" w:hanging="720"/>
      </w:pPr>
      <w:rPr>
        <w:rFonts w:hint="default"/>
      </w:rPr>
    </w:lvl>
    <w:lvl w:ilvl="2">
      <w:start w:val="0"/>
      <w:numFmt w:val="bullet"/>
      <w:lvlText w:val="•"/>
      <w:lvlJc w:val="left"/>
      <w:pPr>
        <w:ind w:left="4028" w:hanging="720"/>
      </w:pPr>
      <w:rPr>
        <w:rFonts w:hint="default"/>
      </w:rPr>
    </w:lvl>
    <w:lvl w:ilvl="3">
      <w:start w:val="0"/>
      <w:numFmt w:val="bullet"/>
      <w:lvlText w:val="•"/>
      <w:lvlJc w:val="left"/>
      <w:pPr>
        <w:ind w:left="4902" w:hanging="720"/>
      </w:pPr>
      <w:rPr>
        <w:rFonts w:hint="default"/>
      </w:rPr>
    </w:lvl>
    <w:lvl w:ilvl="4">
      <w:start w:val="0"/>
      <w:numFmt w:val="bullet"/>
      <w:lvlText w:val="•"/>
      <w:lvlJc w:val="left"/>
      <w:pPr>
        <w:ind w:left="5776" w:hanging="720"/>
      </w:pPr>
      <w:rPr>
        <w:rFonts w:hint="default"/>
      </w:rPr>
    </w:lvl>
    <w:lvl w:ilvl="5">
      <w:start w:val="0"/>
      <w:numFmt w:val="bullet"/>
      <w:lvlText w:val="•"/>
      <w:lvlJc w:val="left"/>
      <w:pPr>
        <w:ind w:left="6650" w:hanging="720"/>
      </w:pPr>
      <w:rPr>
        <w:rFonts w:hint="default"/>
      </w:rPr>
    </w:lvl>
    <w:lvl w:ilvl="6">
      <w:start w:val="0"/>
      <w:numFmt w:val="bullet"/>
      <w:lvlText w:val="•"/>
      <w:lvlJc w:val="left"/>
      <w:pPr>
        <w:ind w:left="7524" w:hanging="720"/>
      </w:pPr>
      <w:rPr>
        <w:rFonts w:hint="default"/>
      </w:rPr>
    </w:lvl>
    <w:lvl w:ilvl="7">
      <w:start w:val="0"/>
      <w:numFmt w:val="bullet"/>
      <w:lvlText w:val="•"/>
      <w:lvlJc w:val="left"/>
      <w:pPr>
        <w:ind w:left="8398" w:hanging="720"/>
      </w:pPr>
      <w:rPr>
        <w:rFonts w:hint="default"/>
      </w:rPr>
    </w:lvl>
    <w:lvl w:ilvl="8">
      <w:start w:val="0"/>
      <w:numFmt w:val="bullet"/>
      <w:lvlText w:val="•"/>
      <w:lvlJc w:val="left"/>
      <w:pPr>
        <w:ind w:left="9272" w:hanging="720"/>
      </w:pPr>
      <w:rPr>
        <w:rFonts w:hint="default"/>
      </w:rPr>
    </w:lvl>
  </w:abstractNum>
  <w:abstractNum w:abstractNumId="8">
    <w:multiLevelType w:val="hybridMultilevel"/>
    <w:lvl w:ilvl="0">
      <w:start w:val="1"/>
      <w:numFmt w:val="upperLetter"/>
      <w:lvlText w:val="%1."/>
      <w:lvlJc w:val="left"/>
      <w:pPr>
        <w:ind w:left="2280" w:hanging="720"/>
        <w:jc w:val="left"/>
      </w:pPr>
      <w:rPr>
        <w:rFonts w:hint="default" w:ascii="Times New Roman" w:hAnsi="Times New Roman" w:eastAsia="Times New Roman" w:cs="Times New Roman"/>
        <w:spacing w:val="-5"/>
        <w:w w:val="100"/>
        <w:sz w:val="24"/>
        <w:szCs w:val="24"/>
      </w:rPr>
    </w:lvl>
    <w:lvl w:ilvl="1">
      <w:start w:val="0"/>
      <w:numFmt w:val="bullet"/>
      <w:lvlText w:val="•"/>
      <w:lvlJc w:val="left"/>
      <w:pPr>
        <w:ind w:left="3154" w:hanging="720"/>
      </w:pPr>
      <w:rPr>
        <w:rFonts w:hint="default"/>
      </w:rPr>
    </w:lvl>
    <w:lvl w:ilvl="2">
      <w:start w:val="0"/>
      <w:numFmt w:val="bullet"/>
      <w:lvlText w:val="•"/>
      <w:lvlJc w:val="left"/>
      <w:pPr>
        <w:ind w:left="4028" w:hanging="720"/>
      </w:pPr>
      <w:rPr>
        <w:rFonts w:hint="default"/>
      </w:rPr>
    </w:lvl>
    <w:lvl w:ilvl="3">
      <w:start w:val="0"/>
      <w:numFmt w:val="bullet"/>
      <w:lvlText w:val="•"/>
      <w:lvlJc w:val="left"/>
      <w:pPr>
        <w:ind w:left="4902" w:hanging="720"/>
      </w:pPr>
      <w:rPr>
        <w:rFonts w:hint="default"/>
      </w:rPr>
    </w:lvl>
    <w:lvl w:ilvl="4">
      <w:start w:val="0"/>
      <w:numFmt w:val="bullet"/>
      <w:lvlText w:val="•"/>
      <w:lvlJc w:val="left"/>
      <w:pPr>
        <w:ind w:left="5776" w:hanging="720"/>
      </w:pPr>
      <w:rPr>
        <w:rFonts w:hint="default"/>
      </w:rPr>
    </w:lvl>
    <w:lvl w:ilvl="5">
      <w:start w:val="0"/>
      <w:numFmt w:val="bullet"/>
      <w:lvlText w:val="•"/>
      <w:lvlJc w:val="left"/>
      <w:pPr>
        <w:ind w:left="6650" w:hanging="720"/>
      </w:pPr>
      <w:rPr>
        <w:rFonts w:hint="default"/>
      </w:rPr>
    </w:lvl>
    <w:lvl w:ilvl="6">
      <w:start w:val="0"/>
      <w:numFmt w:val="bullet"/>
      <w:lvlText w:val="•"/>
      <w:lvlJc w:val="left"/>
      <w:pPr>
        <w:ind w:left="7524" w:hanging="720"/>
      </w:pPr>
      <w:rPr>
        <w:rFonts w:hint="default"/>
      </w:rPr>
    </w:lvl>
    <w:lvl w:ilvl="7">
      <w:start w:val="0"/>
      <w:numFmt w:val="bullet"/>
      <w:lvlText w:val="•"/>
      <w:lvlJc w:val="left"/>
      <w:pPr>
        <w:ind w:left="8398" w:hanging="720"/>
      </w:pPr>
      <w:rPr>
        <w:rFonts w:hint="default"/>
      </w:rPr>
    </w:lvl>
    <w:lvl w:ilvl="8">
      <w:start w:val="0"/>
      <w:numFmt w:val="bullet"/>
      <w:lvlText w:val="•"/>
      <w:lvlJc w:val="left"/>
      <w:pPr>
        <w:ind w:left="9272" w:hanging="720"/>
      </w:pPr>
      <w:rPr>
        <w:rFonts w:hint="default"/>
      </w:rPr>
    </w:lvl>
  </w:abstractNum>
  <w:abstractNum w:abstractNumId="7">
    <w:multiLevelType w:val="hybridMultilevel"/>
    <w:lvl w:ilvl="0">
      <w:start w:val="1"/>
      <w:numFmt w:val="upperLetter"/>
      <w:lvlText w:val="%1."/>
      <w:lvlJc w:val="left"/>
      <w:pPr>
        <w:ind w:left="2280" w:hanging="720"/>
        <w:jc w:val="left"/>
      </w:pPr>
      <w:rPr>
        <w:rFonts w:hint="default" w:ascii="Times New Roman" w:hAnsi="Times New Roman" w:eastAsia="Times New Roman" w:cs="Times New Roman"/>
        <w:spacing w:val="-4"/>
        <w:w w:val="100"/>
        <w:sz w:val="24"/>
        <w:szCs w:val="24"/>
      </w:rPr>
    </w:lvl>
    <w:lvl w:ilvl="1">
      <w:start w:val="0"/>
      <w:numFmt w:val="bullet"/>
      <w:lvlText w:val="•"/>
      <w:lvlJc w:val="left"/>
      <w:pPr>
        <w:ind w:left="3154" w:hanging="720"/>
      </w:pPr>
      <w:rPr>
        <w:rFonts w:hint="default"/>
      </w:rPr>
    </w:lvl>
    <w:lvl w:ilvl="2">
      <w:start w:val="0"/>
      <w:numFmt w:val="bullet"/>
      <w:lvlText w:val="•"/>
      <w:lvlJc w:val="left"/>
      <w:pPr>
        <w:ind w:left="4028" w:hanging="720"/>
      </w:pPr>
      <w:rPr>
        <w:rFonts w:hint="default"/>
      </w:rPr>
    </w:lvl>
    <w:lvl w:ilvl="3">
      <w:start w:val="0"/>
      <w:numFmt w:val="bullet"/>
      <w:lvlText w:val="•"/>
      <w:lvlJc w:val="left"/>
      <w:pPr>
        <w:ind w:left="4902" w:hanging="720"/>
      </w:pPr>
      <w:rPr>
        <w:rFonts w:hint="default"/>
      </w:rPr>
    </w:lvl>
    <w:lvl w:ilvl="4">
      <w:start w:val="0"/>
      <w:numFmt w:val="bullet"/>
      <w:lvlText w:val="•"/>
      <w:lvlJc w:val="left"/>
      <w:pPr>
        <w:ind w:left="5776" w:hanging="720"/>
      </w:pPr>
      <w:rPr>
        <w:rFonts w:hint="default"/>
      </w:rPr>
    </w:lvl>
    <w:lvl w:ilvl="5">
      <w:start w:val="0"/>
      <w:numFmt w:val="bullet"/>
      <w:lvlText w:val="•"/>
      <w:lvlJc w:val="left"/>
      <w:pPr>
        <w:ind w:left="6650" w:hanging="720"/>
      </w:pPr>
      <w:rPr>
        <w:rFonts w:hint="default"/>
      </w:rPr>
    </w:lvl>
    <w:lvl w:ilvl="6">
      <w:start w:val="0"/>
      <w:numFmt w:val="bullet"/>
      <w:lvlText w:val="•"/>
      <w:lvlJc w:val="left"/>
      <w:pPr>
        <w:ind w:left="7524" w:hanging="720"/>
      </w:pPr>
      <w:rPr>
        <w:rFonts w:hint="default"/>
      </w:rPr>
    </w:lvl>
    <w:lvl w:ilvl="7">
      <w:start w:val="0"/>
      <w:numFmt w:val="bullet"/>
      <w:lvlText w:val="•"/>
      <w:lvlJc w:val="left"/>
      <w:pPr>
        <w:ind w:left="8398" w:hanging="720"/>
      </w:pPr>
      <w:rPr>
        <w:rFonts w:hint="default"/>
      </w:rPr>
    </w:lvl>
    <w:lvl w:ilvl="8">
      <w:start w:val="0"/>
      <w:numFmt w:val="bullet"/>
      <w:lvlText w:val="•"/>
      <w:lvlJc w:val="left"/>
      <w:pPr>
        <w:ind w:left="9272" w:hanging="720"/>
      </w:pPr>
      <w:rPr>
        <w:rFonts w:hint="default"/>
      </w:rPr>
    </w:lvl>
  </w:abstractNum>
  <w:abstractNum w:abstractNumId="6">
    <w:multiLevelType w:val="hybridMultilevel"/>
    <w:lvl w:ilvl="0">
      <w:start w:val="1"/>
      <w:numFmt w:val="upperLetter"/>
      <w:lvlText w:val="%1."/>
      <w:lvlJc w:val="left"/>
      <w:pPr>
        <w:ind w:left="2280" w:hanging="720"/>
        <w:jc w:val="left"/>
      </w:pPr>
      <w:rPr>
        <w:rFonts w:hint="default" w:ascii="Times New Roman" w:hAnsi="Times New Roman" w:eastAsia="Times New Roman" w:cs="Times New Roman"/>
        <w:spacing w:val="-5"/>
        <w:w w:val="100"/>
        <w:sz w:val="24"/>
        <w:szCs w:val="24"/>
      </w:rPr>
    </w:lvl>
    <w:lvl w:ilvl="1">
      <w:start w:val="0"/>
      <w:numFmt w:val="bullet"/>
      <w:lvlText w:val="•"/>
      <w:lvlJc w:val="left"/>
      <w:pPr>
        <w:ind w:left="3154" w:hanging="720"/>
      </w:pPr>
      <w:rPr>
        <w:rFonts w:hint="default"/>
      </w:rPr>
    </w:lvl>
    <w:lvl w:ilvl="2">
      <w:start w:val="0"/>
      <w:numFmt w:val="bullet"/>
      <w:lvlText w:val="•"/>
      <w:lvlJc w:val="left"/>
      <w:pPr>
        <w:ind w:left="4028" w:hanging="720"/>
      </w:pPr>
      <w:rPr>
        <w:rFonts w:hint="default"/>
      </w:rPr>
    </w:lvl>
    <w:lvl w:ilvl="3">
      <w:start w:val="0"/>
      <w:numFmt w:val="bullet"/>
      <w:lvlText w:val="•"/>
      <w:lvlJc w:val="left"/>
      <w:pPr>
        <w:ind w:left="4902" w:hanging="720"/>
      </w:pPr>
      <w:rPr>
        <w:rFonts w:hint="default"/>
      </w:rPr>
    </w:lvl>
    <w:lvl w:ilvl="4">
      <w:start w:val="0"/>
      <w:numFmt w:val="bullet"/>
      <w:lvlText w:val="•"/>
      <w:lvlJc w:val="left"/>
      <w:pPr>
        <w:ind w:left="5776" w:hanging="720"/>
      </w:pPr>
      <w:rPr>
        <w:rFonts w:hint="default"/>
      </w:rPr>
    </w:lvl>
    <w:lvl w:ilvl="5">
      <w:start w:val="0"/>
      <w:numFmt w:val="bullet"/>
      <w:lvlText w:val="•"/>
      <w:lvlJc w:val="left"/>
      <w:pPr>
        <w:ind w:left="6650" w:hanging="720"/>
      </w:pPr>
      <w:rPr>
        <w:rFonts w:hint="default"/>
      </w:rPr>
    </w:lvl>
    <w:lvl w:ilvl="6">
      <w:start w:val="0"/>
      <w:numFmt w:val="bullet"/>
      <w:lvlText w:val="•"/>
      <w:lvlJc w:val="left"/>
      <w:pPr>
        <w:ind w:left="7524" w:hanging="720"/>
      </w:pPr>
      <w:rPr>
        <w:rFonts w:hint="default"/>
      </w:rPr>
    </w:lvl>
    <w:lvl w:ilvl="7">
      <w:start w:val="0"/>
      <w:numFmt w:val="bullet"/>
      <w:lvlText w:val="•"/>
      <w:lvlJc w:val="left"/>
      <w:pPr>
        <w:ind w:left="8398" w:hanging="720"/>
      </w:pPr>
      <w:rPr>
        <w:rFonts w:hint="default"/>
      </w:rPr>
    </w:lvl>
    <w:lvl w:ilvl="8">
      <w:start w:val="0"/>
      <w:numFmt w:val="bullet"/>
      <w:lvlText w:val="•"/>
      <w:lvlJc w:val="left"/>
      <w:pPr>
        <w:ind w:left="9272" w:hanging="720"/>
      </w:pPr>
      <w:rPr>
        <w:rFonts w:hint="default"/>
      </w:rPr>
    </w:lvl>
  </w:abstractNum>
  <w:abstractNum w:abstractNumId="5">
    <w:multiLevelType w:val="hybridMultilevel"/>
    <w:lvl w:ilvl="0">
      <w:start w:val="1"/>
      <w:numFmt w:val="upperLetter"/>
      <w:lvlText w:val="%1."/>
      <w:lvlJc w:val="left"/>
      <w:pPr>
        <w:ind w:left="2280" w:hanging="720"/>
        <w:jc w:val="left"/>
      </w:pPr>
      <w:rPr>
        <w:rFonts w:hint="default" w:ascii="Times New Roman" w:hAnsi="Times New Roman" w:eastAsia="Times New Roman" w:cs="Times New Roman"/>
        <w:spacing w:val="-3"/>
        <w:w w:val="100"/>
        <w:sz w:val="24"/>
        <w:szCs w:val="24"/>
      </w:rPr>
    </w:lvl>
    <w:lvl w:ilvl="1">
      <w:start w:val="0"/>
      <w:numFmt w:val="bullet"/>
      <w:lvlText w:val="•"/>
      <w:lvlJc w:val="left"/>
      <w:pPr>
        <w:ind w:left="3154" w:hanging="720"/>
      </w:pPr>
      <w:rPr>
        <w:rFonts w:hint="default"/>
      </w:rPr>
    </w:lvl>
    <w:lvl w:ilvl="2">
      <w:start w:val="0"/>
      <w:numFmt w:val="bullet"/>
      <w:lvlText w:val="•"/>
      <w:lvlJc w:val="left"/>
      <w:pPr>
        <w:ind w:left="4028" w:hanging="720"/>
      </w:pPr>
      <w:rPr>
        <w:rFonts w:hint="default"/>
      </w:rPr>
    </w:lvl>
    <w:lvl w:ilvl="3">
      <w:start w:val="0"/>
      <w:numFmt w:val="bullet"/>
      <w:lvlText w:val="•"/>
      <w:lvlJc w:val="left"/>
      <w:pPr>
        <w:ind w:left="4902" w:hanging="720"/>
      </w:pPr>
      <w:rPr>
        <w:rFonts w:hint="default"/>
      </w:rPr>
    </w:lvl>
    <w:lvl w:ilvl="4">
      <w:start w:val="0"/>
      <w:numFmt w:val="bullet"/>
      <w:lvlText w:val="•"/>
      <w:lvlJc w:val="left"/>
      <w:pPr>
        <w:ind w:left="5776" w:hanging="720"/>
      </w:pPr>
      <w:rPr>
        <w:rFonts w:hint="default"/>
      </w:rPr>
    </w:lvl>
    <w:lvl w:ilvl="5">
      <w:start w:val="0"/>
      <w:numFmt w:val="bullet"/>
      <w:lvlText w:val="•"/>
      <w:lvlJc w:val="left"/>
      <w:pPr>
        <w:ind w:left="6650" w:hanging="720"/>
      </w:pPr>
      <w:rPr>
        <w:rFonts w:hint="default"/>
      </w:rPr>
    </w:lvl>
    <w:lvl w:ilvl="6">
      <w:start w:val="0"/>
      <w:numFmt w:val="bullet"/>
      <w:lvlText w:val="•"/>
      <w:lvlJc w:val="left"/>
      <w:pPr>
        <w:ind w:left="7524" w:hanging="720"/>
      </w:pPr>
      <w:rPr>
        <w:rFonts w:hint="default"/>
      </w:rPr>
    </w:lvl>
    <w:lvl w:ilvl="7">
      <w:start w:val="0"/>
      <w:numFmt w:val="bullet"/>
      <w:lvlText w:val="•"/>
      <w:lvlJc w:val="left"/>
      <w:pPr>
        <w:ind w:left="8398" w:hanging="720"/>
      </w:pPr>
      <w:rPr>
        <w:rFonts w:hint="default"/>
      </w:rPr>
    </w:lvl>
    <w:lvl w:ilvl="8">
      <w:start w:val="0"/>
      <w:numFmt w:val="bullet"/>
      <w:lvlText w:val="•"/>
      <w:lvlJc w:val="left"/>
      <w:pPr>
        <w:ind w:left="9272" w:hanging="720"/>
      </w:pPr>
      <w:rPr>
        <w:rFonts w:hint="default"/>
      </w:rPr>
    </w:lvl>
  </w:abstractNum>
  <w:abstractNum w:abstractNumId="4">
    <w:multiLevelType w:val="hybridMultilevel"/>
    <w:lvl w:ilvl="0">
      <w:start w:val="1"/>
      <w:numFmt w:val="upperLetter"/>
      <w:lvlText w:val="%1."/>
      <w:lvlJc w:val="left"/>
      <w:pPr>
        <w:ind w:left="2280" w:hanging="720"/>
        <w:jc w:val="left"/>
      </w:pPr>
      <w:rPr>
        <w:rFonts w:hint="default" w:ascii="Times New Roman" w:hAnsi="Times New Roman" w:eastAsia="Times New Roman" w:cs="Times New Roman"/>
        <w:spacing w:val="-2"/>
        <w:w w:val="100"/>
        <w:sz w:val="24"/>
        <w:szCs w:val="24"/>
      </w:rPr>
    </w:lvl>
    <w:lvl w:ilvl="1">
      <w:start w:val="0"/>
      <w:numFmt w:val="bullet"/>
      <w:lvlText w:val="•"/>
      <w:lvlJc w:val="left"/>
      <w:pPr>
        <w:ind w:left="3154" w:hanging="720"/>
      </w:pPr>
      <w:rPr>
        <w:rFonts w:hint="default"/>
      </w:rPr>
    </w:lvl>
    <w:lvl w:ilvl="2">
      <w:start w:val="0"/>
      <w:numFmt w:val="bullet"/>
      <w:lvlText w:val="•"/>
      <w:lvlJc w:val="left"/>
      <w:pPr>
        <w:ind w:left="4028" w:hanging="720"/>
      </w:pPr>
      <w:rPr>
        <w:rFonts w:hint="default"/>
      </w:rPr>
    </w:lvl>
    <w:lvl w:ilvl="3">
      <w:start w:val="0"/>
      <w:numFmt w:val="bullet"/>
      <w:lvlText w:val="•"/>
      <w:lvlJc w:val="left"/>
      <w:pPr>
        <w:ind w:left="4902" w:hanging="720"/>
      </w:pPr>
      <w:rPr>
        <w:rFonts w:hint="default"/>
      </w:rPr>
    </w:lvl>
    <w:lvl w:ilvl="4">
      <w:start w:val="0"/>
      <w:numFmt w:val="bullet"/>
      <w:lvlText w:val="•"/>
      <w:lvlJc w:val="left"/>
      <w:pPr>
        <w:ind w:left="5776" w:hanging="720"/>
      </w:pPr>
      <w:rPr>
        <w:rFonts w:hint="default"/>
      </w:rPr>
    </w:lvl>
    <w:lvl w:ilvl="5">
      <w:start w:val="0"/>
      <w:numFmt w:val="bullet"/>
      <w:lvlText w:val="•"/>
      <w:lvlJc w:val="left"/>
      <w:pPr>
        <w:ind w:left="6650" w:hanging="720"/>
      </w:pPr>
      <w:rPr>
        <w:rFonts w:hint="default"/>
      </w:rPr>
    </w:lvl>
    <w:lvl w:ilvl="6">
      <w:start w:val="0"/>
      <w:numFmt w:val="bullet"/>
      <w:lvlText w:val="•"/>
      <w:lvlJc w:val="left"/>
      <w:pPr>
        <w:ind w:left="7524" w:hanging="720"/>
      </w:pPr>
      <w:rPr>
        <w:rFonts w:hint="default"/>
      </w:rPr>
    </w:lvl>
    <w:lvl w:ilvl="7">
      <w:start w:val="0"/>
      <w:numFmt w:val="bullet"/>
      <w:lvlText w:val="•"/>
      <w:lvlJc w:val="left"/>
      <w:pPr>
        <w:ind w:left="8398" w:hanging="720"/>
      </w:pPr>
      <w:rPr>
        <w:rFonts w:hint="default"/>
      </w:rPr>
    </w:lvl>
    <w:lvl w:ilvl="8">
      <w:start w:val="0"/>
      <w:numFmt w:val="bullet"/>
      <w:lvlText w:val="•"/>
      <w:lvlJc w:val="left"/>
      <w:pPr>
        <w:ind w:left="9272" w:hanging="720"/>
      </w:pPr>
      <w:rPr>
        <w:rFonts w:hint="default"/>
      </w:rPr>
    </w:lvl>
  </w:abstractNum>
  <w:abstractNum w:abstractNumId="3">
    <w:multiLevelType w:val="hybridMultilevel"/>
    <w:lvl w:ilvl="0">
      <w:start w:val="1"/>
      <w:numFmt w:val="upperLetter"/>
      <w:lvlText w:val="%1."/>
      <w:lvlJc w:val="left"/>
      <w:pPr>
        <w:ind w:left="2280" w:hanging="720"/>
        <w:jc w:val="left"/>
      </w:pPr>
      <w:rPr>
        <w:rFonts w:hint="default" w:ascii="Times New Roman" w:hAnsi="Times New Roman" w:eastAsia="Times New Roman" w:cs="Times New Roman"/>
        <w:spacing w:val="-6"/>
        <w:w w:val="100"/>
        <w:sz w:val="24"/>
        <w:szCs w:val="24"/>
      </w:rPr>
    </w:lvl>
    <w:lvl w:ilvl="1">
      <w:start w:val="0"/>
      <w:numFmt w:val="bullet"/>
      <w:lvlText w:val="•"/>
      <w:lvlJc w:val="left"/>
      <w:pPr>
        <w:ind w:left="3154" w:hanging="720"/>
      </w:pPr>
      <w:rPr>
        <w:rFonts w:hint="default"/>
      </w:rPr>
    </w:lvl>
    <w:lvl w:ilvl="2">
      <w:start w:val="0"/>
      <w:numFmt w:val="bullet"/>
      <w:lvlText w:val="•"/>
      <w:lvlJc w:val="left"/>
      <w:pPr>
        <w:ind w:left="4028" w:hanging="720"/>
      </w:pPr>
      <w:rPr>
        <w:rFonts w:hint="default"/>
      </w:rPr>
    </w:lvl>
    <w:lvl w:ilvl="3">
      <w:start w:val="0"/>
      <w:numFmt w:val="bullet"/>
      <w:lvlText w:val="•"/>
      <w:lvlJc w:val="left"/>
      <w:pPr>
        <w:ind w:left="4902" w:hanging="720"/>
      </w:pPr>
      <w:rPr>
        <w:rFonts w:hint="default"/>
      </w:rPr>
    </w:lvl>
    <w:lvl w:ilvl="4">
      <w:start w:val="0"/>
      <w:numFmt w:val="bullet"/>
      <w:lvlText w:val="•"/>
      <w:lvlJc w:val="left"/>
      <w:pPr>
        <w:ind w:left="5776" w:hanging="720"/>
      </w:pPr>
      <w:rPr>
        <w:rFonts w:hint="default"/>
      </w:rPr>
    </w:lvl>
    <w:lvl w:ilvl="5">
      <w:start w:val="0"/>
      <w:numFmt w:val="bullet"/>
      <w:lvlText w:val="•"/>
      <w:lvlJc w:val="left"/>
      <w:pPr>
        <w:ind w:left="6650" w:hanging="720"/>
      </w:pPr>
      <w:rPr>
        <w:rFonts w:hint="default"/>
      </w:rPr>
    </w:lvl>
    <w:lvl w:ilvl="6">
      <w:start w:val="0"/>
      <w:numFmt w:val="bullet"/>
      <w:lvlText w:val="•"/>
      <w:lvlJc w:val="left"/>
      <w:pPr>
        <w:ind w:left="7524" w:hanging="720"/>
      </w:pPr>
      <w:rPr>
        <w:rFonts w:hint="default"/>
      </w:rPr>
    </w:lvl>
    <w:lvl w:ilvl="7">
      <w:start w:val="0"/>
      <w:numFmt w:val="bullet"/>
      <w:lvlText w:val="•"/>
      <w:lvlJc w:val="left"/>
      <w:pPr>
        <w:ind w:left="8398" w:hanging="720"/>
      </w:pPr>
      <w:rPr>
        <w:rFonts w:hint="default"/>
      </w:rPr>
    </w:lvl>
    <w:lvl w:ilvl="8">
      <w:start w:val="0"/>
      <w:numFmt w:val="bullet"/>
      <w:lvlText w:val="•"/>
      <w:lvlJc w:val="left"/>
      <w:pPr>
        <w:ind w:left="9272" w:hanging="720"/>
      </w:pPr>
      <w:rPr>
        <w:rFonts w:hint="default"/>
      </w:rPr>
    </w:lvl>
  </w:abstractNum>
  <w:abstractNum w:abstractNumId="2">
    <w:multiLevelType w:val="hybridMultilevel"/>
    <w:lvl w:ilvl="0">
      <w:start w:val="1"/>
      <w:numFmt w:val="upperLetter"/>
      <w:lvlText w:val="%1."/>
      <w:lvlJc w:val="left"/>
      <w:pPr>
        <w:ind w:left="2280" w:hanging="720"/>
        <w:jc w:val="left"/>
      </w:pPr>
      <w:rPr>
        <w:rFonts w:hint="default" w:ascii="Times New Roman" w:hAnsi="Times New Roman" w:eastAsia="Times New Roman" w:cs="Times New Roman"/>
        <w:spacing w:val="-5"/>
        <w:w w:val="100"/>
        <w:sz w:val="24"/>
        <w:szCs w:val="24"/>
      </w:rPr>
    </w:lvl>
    <w:lvl w:ilvl="1">
      <w:start w:val="0"/>
      <w:numFmt w:val="bullet"/>
      <w:lvlText w:val="•"/>
      <w:lvlJc w:val="left"/>
      <w:pPr>
        <w:ind w:left="3154" w:hanging="720"/>
      </w:pPr>
      <w:rPr>
        <w:rFonts w:hint="default"/>
      </w:rPr>
    </w:lvl>
    <w:lvl w:ilvl="2">
      <w:start w:val="0"/>
      <w:numFmt w:val="bullet"/>
      <w:lvlText w:val="•"/>
      <w:lvlJc w:val="left"/>
      <w:pPr>
        <w:ind w:left="4028" w:hanging="720"/>
      </w:pPr>
      <w:rPr>
        <w:rFonts w:hint="default"/>
      </w:rPr>
    </w:lvl>
    <w:lvl w:ilvl="3">
      <w:start w:val="0"/>
      <w:numFmt w:val="bullet"/>
      <w:lvlText w:val="•"/>
      <w:lvlJc w:val="left"/>
      <w:pPr>
        <w:ind w:left="4902" w:hanging="720"/>
      </w:pPr>
      <w:rPr>
        <w:rFonts w:hint="default"/>
      </w:rPr>
    </w:lvl>
    <w:lvl w:ilvl="4">
      <w:start w:val="0"/>
      <w:numFmt w:val="bullet"/>
      <w:lvlText w:val="•"/>
      <w:lvlJc w:val="left"/>
      <w:pPr>
        <w:ind w:left="5776" w:hanging="720"/>
      </w:pPr>
      <w:rPr>
        <w:rFonts w:hint="default"/>
      </w:rPr>
    </w:lvl>
    <w:lvl w:ilvl="5">
      <w:start w:val="0"/>
      <w:numFmt w:val="bullet"/>
      <w:lvlText w:val="•"/>
      <w:lvlJc w:val="left"/>
      <w:pPr>
        <w:ind w:left="6650" w:hanging="720"/>
      </w:pPr>
      <w:rPr>
        <w:rFonts w:hint="default"/>
      </w:rPr>
    </w:lvl>
    <w:lvl w:ilvl="6">
      <w:start w:val="0"/>
      <w:numFmt w:val="bullet"/>
      <w:lvlText w:val="•"/>
      <w:lvlJc w:val="left"/>
      <w:pPr>
        <w:ind w:left="7524" w:hanging="720"/>
      </w:pPr>
      <w:rPr>
        <w:rFonts w:hint="default"/>
      </w:rPr>
    </w:lvl>
    <w:lvl w:ilvl="7">
      <w:start w:val="0"/>
      <w:numFmt w:val="bullet"/>
      <w:lvlText w:val="•"/>
      <w:lvlJc w:val="left"/>
      <w:pPr>
        <w:ind w:left="8398" w:hanging="720"/>
      </w:pPr>
      <w:rPr>
        <w:rFonts w:hint="default"/>
      </w:rPr>
    </w:lvl>
    <w:lvl w:ilvl="8">
      <w:start w:val="0"/>
      <w:numFmt w:val="bullet"/>
      <w:lvlText w:val="•"/>
      <w:lvlJc w:val="left"/>
      <w:pPr>
        <w:ind w:left="9272" w:hanging="720"/>
      </w:pPr>
      <w:rPr>
        <w:rFonts w:hint="default"/>
      </w:rPr>
    </w:lvl>
  </w:abstractNum>
  <w:abstractNum w:abstractNumId="1">
    <w:multiLevelType w:val="hybridMultilevel"/>
    <w:lvl w:ilvl="0">
      <w:start w:val="1"/>
      <w:numFmt w:val="upperLetter"/>
      <w:lvlText w:val="%1."/>
      <w:lvlJc w:val="left"/>
      <w:pPr>
        <w:ind w:left="2280" w:hanging="720"/>
        <w:jc w:val="left"/>
      </w:pPr>
      <w:rPr>
        <w:rFonts w:hint="default" w:ascii="Times New Roman" w:hAnsi="Times New Roman" w:eastAsia="Times New Roman" w:cs="Times New Roman"/>
        <w:spacing w:val="-3"/>
        <w:w w:val="100"/>
        <w:sz w:val="24"/>
        <w:szCs w:val="24"/>
      </w:rPr>
    </w:lvl>
    <w:lvl w:ilvl="1">
      <w:start w:val="0"/>
      <w:numFmt w:val="bullet"/>
      <w:lvlText w:val="•"/>
      <w:lvlJc w:val="left"/>
      <w:pPr>
        <w:ind w:left="3154" w:hanging="720"/>
      </w:pPr>
      <w:rPr>
        <w:rFonts w:hint="default"/>
      </w:rPr>
    </w:lvl>
    <w:lvl w:ilvl="2">
      <w:start w:val="0"/>
      <w:numFmt w:val="bullet"/>
      <w:lvlText w:val="•"/>
      <w:lvlJc w:val="left"/>
      <w:pPr>
        <w:ind w:left="4028" w:hanging="720"/>
      </w:pPr>
      <w:rPr>
        <w:rFonts w:hint="default"/>
      </w:rPr>
    </w:lvl>
    <w:lvl w:ilvl="3">
      <w:start w:val="0"/>
      <w:numFmt w:val="bullet"/>
      <w:lvlText w:val="•"/>
      <w:lvlJc w:val="left"/>
      <w:pPr>
        <w:ind w:left="4902" w:hanging="720"/>
      </w:pPr>
      <w:rPr>
        <w:rFonts w:hint="default"/>
      </w:rPr>
    </w:lvl>
    <w:lvl w:ilvl="4">
      <w:start w:val="0"/>
      <w:numFmt w:val="bullet"/>
      <w:lvlText w:val="•"/>
      <w:lvlJc w:val="left"/>
      <w:pPr>
        <w:ind w:left="5776" w:hanging="720"/>
      </w:pPr>
      <w:rPr>
        <w:rFonts w:hint="default"/>
      </w:rPr>
    </w:lvl>
    <w:lvl w:ilvl="5">
      <w:start w:val="0"/>
      <w:numFmt w:val="bullet"/>
      <w:lvlText w:val="•"/>
      <w:lvlJc w:val="left"/>
      <w:pPr>
        <w:ind w:left="6650" w:hanging="720"/>
      </w:pPr>
      <w:rPr>
        <w:rFonts w:hint="default"/>
      </w:rPr>
    </w:lvl>
    <w:lvl w:ilvl="6">
      <w:start w:val="0"/>
      <w:numFmt w:val="bullet"/>
      <w:lvlText w:val="•"/>
      <w:lvlJc w:val="left"/>
      <w:pPr>
        <w:ind w:left="7524" w:hanging="720"/>
      </w:pPr>
      <w:rPr>
        <w:rFonts w:hint="default"/>
      </w:rPr>
    </w:lvl>
    <w:lvl w:ilvl="7">
      <w:start w:val="0"/>
      <w:numFmt w:val="bullet"/>
      <w:lvlText w:val="•"/>
      <w:lvlJc w:val="left"/>
      <w:pPr>
        <w:ind w:left="8398" w:hanging="720"/>
      </w:pPr>
      <w:rPr>
        <w:rFonts w:hint="default"/>
      </w:rPr>
    </w:lvl>
    <w:lvl w:ilvl="8">
      <w:start w:val="0"/>
      <w:numFmt w:val="bullet"/>
      <w:lvlText w:val="•"/>
      <w:lvlJc w:val="left"/>
      <w:pPr>
        <w:ind w:left="9272" w:hanging="720"/>
      </w:pPr>
      <w:rPr>
        <w:rFonts w:hint="default"/>
      </w:rPr>
    </w:lvl>
  </w:abstractNum>
  <w:abstractNum w:abstractNumId="0">
    <w:multiLevelType w:val="hybridMultilevel"/>
    <w:lvl w:ilvl="0">
      <w:start w:val="1"/>
      <w:numFmt w:val="upperLetter"/>
      <w:lvlText w:val="%1."/>
      <w:lvlJc w:val="left"/>
      <w:pPr>
        <w:ind w:left="2280" w:hanging="720"/>
        <w:jc w:val="left"/>
      </w:pPr>
      <w:rPr>
        <w:rFonts w:hint="default" w:ascii="Times New Roman" w:hAnsi="Times New Roman" w:eastAsia="Times New Roman" w:cs="Times New Roman"/>
        <w:spacing w:val="-5"/>
        <w:w w:val="100"/>
        <w:sz w:val="24"/>
        <w:szCs w:val="24"/>
      </w:rPr>
    </w:lvl>
    <w:lvl w:ilvl="1">
      <w:start w:val="0"/>
      <w:numFmt w:val="bullet"/>
      <w:lvlText w:val="•"/>
      <w:lvlJc w:val="left"/>
      <w:pPr>
        <w:ind w:left="3154" w:hanging="720"/>
      </w:pPr>
      <w:rPr>
        <w:rFonts w:hint="default"/>
      </w:rPr>
    </w:lvl>
    <w:lvl w:ilvl="2">
      <w:start w:val="0"/>
      <w:numFmt w:val="bullet"/>
      <w:lvlText w:val="•"/>
      <w:lvlJc w:val="left"/>
      <w:pPr>
        <w:ind w:left="4028" w:hanging="720"/>
      </w:pPr>
      <w:rPr>
        <w:rFonts w:hint="default"/>
      </w:rPr>
    </w:lvl>
    <w:lvl w:ilvl="3">
      <w:start w:val="0"/>
      <w:numFmt w:val="bullet"/>
      <w:lvlText w:val="•"/>
      <w:lvlJc w:val="left"/>
      <w:pPr>
        <w:ind w:left="4902" w:hanging="720"/>
      </w:pPr>
      <w:rPr>
        <w:rFonts w:hint="default"/>
      </w:rPr>
    </w:lvl>
    <w:lvl w:ilvl="4">
      <w:start w:val="0"/>
      <w:numFmt w:val="bullet"/>
      <w:lvlText w:val="•"/>
      <w:lvlJc w:val="left"/>
      <w:pPr>
        <w:ind w:left="5776" w:hanging="720"/>
      </w:pPr>
      <w:rPr>
        <w:rFonts w:hint="default"/>
      </w:rPr>
    </w:lvl>
    <w:lvl w:ilvl="5">
      <w:start w:val="0"/>
      <w:numFmt w:val="bullet"/>
      <w:lvlText w:val="•"/>
      <w:lvlJc w:val="left"/>
      <w:pPr>
        <w:ind w:left="6650" w:hanging="720"/>
      </w:pPr>
      <w:rPr>
        <w:rFonts w:hint="default"/>
      </w:rPr>
    </w:lvl>
    <w:lvl w:ilvl="6">
      <w:start w:val="0"/>
      <w:numFmt w:val="bullet"/>
      <w:lvlText w:val="•"/>
      <w:lvlJc w:val="left"/>
      <w:pPr>
        <w:ind w:left="7524" w:hanging="720"/>
      </w:pPr>
      <w:rPr>
        <w:rFonts w:hint="default"/>
      </w:rPr>
    </w:lvl>
    <w:lvl w:ilvl="7">
      <w:start w:val="0"/>
      <w:numFmt w:val="bullet"/>
      <w:lvlText w:val="•"/>
      <w:lvlJc w:val="left"/>
      <w:pPr>
        <w:ind w:left="8398" w:hanging="720"/>
      </w:pPr>
      <w:rPr>
        <w:rFonts w:hint="default"/>
      </w:rPr>
    </w:lvl>
    <w:lvl w:ilvl="8">
      <w:start w:val="0"/>
      <w:numFmt w:val="bullet"/>
      <w:lvlText w:val="•"/>
      <w:lvlJc w:val="left"/>
      <w:pPr>
        <w:ind w:left="9272" w:hanging="720"/>
      </w:pPr>
      <w:rPr>
        <w:rFonts w:hint="default"/>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ind w:left="2280"/>
    </w:pPr>
    <w:rPr>
      <w:rFonts w:ascii="Times New Roman" w:hAnsi="Times New Roman" w:eastAsia="Times New Roman" w:cs="Times New Roman"/>
      <w:sz w:val="24"/>
      <w:szCs w:val="24"/>
    </w:rPr>
  </w:style>
  <w:style w:styleId="Heading1" w:type="paragraph">
    <w:name w:val="Heading 1"/>
    <w:basedOn w:val="Normal"/>
    <w:uiPriority w:val="1"/>
    <w:qFormat/>
    <w:pPr>
      <w:ind w:left="120"/>
      <w:outlineLvl w:val="1"/>
    </w:pPr>
    <w:rPr>
      <w:rFonts w:ascii="Times New Roman" w:hAnsi="Times New Roman" w:eastAsia="Times New Roman" w:cs="Times New Roman"/>
      <w:b/>
      <w:bCs/>
      <w:sz w:val="24"/>
      <w:szCs w:val="24"/>
    </w:rPr>
  </w:style>
  <w:style w:styleId="Heading2" w:type="paragraph">
    <w:name w:val="Heading 2"/>
    <w:basedOn w:val="Normal"/>
    <w:uiPriority w:val="1"/>
    <w:qFormat/>
    <w:pPr>
      <w:ind w:left="120"/>
      <w:outlineLvl w:val="2"/>
    </w:pPr>
    <w:rPr>
      <w:rFonts w:ascii="Times New Roman" w:hAnsi="Times New Roman" w:eastAsia="Times New Roman" w:cs="Times New Roman"/>
      <w:b/>
      <w:bCs/>
      <w:i/>
      <w:sz w:val="24"/>
      <w:szCs w:val="24"/>
    </w:rPr>
  </w:style>
  <w:style w:styleId="ListParagraph" w:type="paragraph">
    <w:name w:val="List Paragraph"/>
    <w:basedOn w:val="Normal"/>
    <w:uiPriority w:val="1"/>
    <w:qFormat/>
    <w:pPr>
      <w:ind w:left="2280" w:hanging="720"/>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2026-09-23T14:50:21Z</dcterms:created>
  <dcterms:modified xsi:type="dcterms:W3CDTF">2026-09-23T14:50:21Z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